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header1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header15.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6"/>
        <w:keepNext w:val="true"/>
        <w:spacing w:before="120" w:after="0"/>
        <w:ind w:left="4536" w:hanging="0"/>
        <w:rPr/>
      </w:pPr>
      <w:r>
        <w:rPr/>
        <w:t>«УТВЕРЖДАЮ»</w:t>
      </w:r>
    </w:p>
    <w:p>
      <w:pPr>
        <w:pStyle w:val="Style26"/>
        <w:keepNext w:val="true"/>
        <w:ind w:left="4536" w:hanging="0"/>
        <w:rPr/>
      </w:pPr>
      <w:r>
        <w:rPr/>
        <w:t>Председатель закупочной комиссии 1-го уровня – Заместитель генерального директора по управлению ресурсами АО «ДГК»</w:t>
      </w:r>
    </w:p>
    <w:p>
      <w:pPr>
        <w:pStyle w:val="Style26"/>
        <w:keepNext w:val="true"/>
        <w:ind w:left="4536" w:hanging="0"/>
        <w:rPr/>
      </w:pPr>
      <w:r>
        <w:rPr/>
        <w:t>__________________Д.А. Богонатов</w:t>
      </w:r>
    </w:p>
    <w:p>
      <w:pPr>
        <w:pStyle w:val="Style26"/>
        <w:keepNext w:val="true"/>
        <w:ind w:left="4536" w:hanging="0"/>
        <w:rPr/>
      </w:pPr>
      <w:r>
        <w:rPr/>
        <w:t>«___» _______________ 2026г</w:t>
      </w:r>
    </w:p>
    <w:p>
      <w:pPr>
        <w:pStyle w:val="Style26"/>
        <w:keepNext w:val="true"/>
        <w:ind w:left="4536" w:hanging="0"/>
        <w:rPr/>
      </w:pPr>
      <w:r>
        <w:rPr/>
      </w:r>
    </w:p>
    <w:p>
      <w:pPr>
        <w:pStyle w:val="Style26"/>
        <w:rPr/>
      </w:pPr>
      <w:r>
        <w:rPr/>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ind w:left="0" w:hanging="0"/>
        <w:jc w:val="center"/>
        <w:outlineLvl w:val="2"/>
        <w:rPr>
          <w:b/>
          <w:bCs/>
          <w:caps/>
        </w:rPr>
      </w:pPr>
      <w:r>
        <w:rPr>
          <w:b/>
          <w:bCs/>
          <w:caps/>
        </w:rPr>
        <w:t>Документация о закупке</w:t>
      </w:r>
    </w:p>
    <w:p>
      <w:pPr>
        <w:pStyle w:val="Style26"/>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«ОКПД2 42.11.20 Выполнение работ по восстановлению нарушенного благоустройства после устранения аварийных порывов на теплотрассах, ремонт тепловых камер, для СП «ХТС» г. Хабаровск (ПП: 10.3-Рем-2022-ХТС)»</w:t>
      </w:r>
    </w:p>
    <w:p>
      <w:pPr>
        <w:sectPr>
          <w:type w:val="nextPage"/>
          <w:pgSz w:w="11906" w:h="16838"/>
          <w:pgMar w:left="1134" w:right="850" w:gutter="0" w:header="0" w:top="851" w:footer="0" w:bottom="851"/>
          <w:pgNumType w:fmt="decimal"/>
          <w:formProt w:val="false"/>
          <w:textDirection w:val="lrTb"/>
          <w:docGrid w:type="default" w:linePitch="360" w:charSpace="0"/>
        </w:sectPr>
        <w:pStyle w:val="Style26"/>
        <w:keepNext w:val="true"/>
        <w:spacing w:before="240" w:after="0"/>
        <w:jc w:val="center"/>
        <w:rPr>
          <w:rStyle w:val="Style8"/>
        </w:rPr>
      </w:pPr>
      <w:r>
        <w:rPr/>
        <w:t>(Лот № 11026001-РЕМ ПРОД-2027-ДГК-ХТС)</w:t>
      </w:r>
    </w:p>
    <w:p>
      <w:pPr>
        <w:pStyle w:val="Style25"/>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left" w:pos="851" w:leader="none"/>
              <w:tab w:val="right" w:pos="9923" w:leader="none"/>
              <w:tab w:val="right" w:pos="10205" w:leader="dot"/>
            </w:tabs>
            <w:rPr/>
          </w:pPr>
          <w:r>
            <w:fldChar w:fldCharType="begin"/>
          </w:r>
          <w:r>
            <w:rPr>
              <w:rStyle w:val="Style17"/>
            </w:rPr>
            <w:instrText xml:space="preserve"> TOC \t "[РГ] Раздел,1,[РГ] Подраздел,2" \h</w:instrText>
          </w:r>
          <w:r>
            <w:rPr>
              <w:rStyle w:val="Style17"/>
            </w:rPr>
            <w:fldChar w:fldCharType="separate"/>
          </w:r>
          <w:hyperlink w:anchor="_Toc1" w:tgtFrame="#_Toc1">
            <w:r>
              <w:rPr>
                <w:webHidden/>
              </w:rPr>
              <w:fldChar w:fldCharType="begin"/>
            </w:r>
            <w:r>
              <w:rPr>
                <w:webHidden/>
              </w:rPr>
              <w:instrText xml:space="preserve">PAGEREF _Toc1 \h</w:instrText>
            </w:r>
            <w:r>
              <w:rPr>
                <w:webHidden/>
              </w:rPr>
              <w:fldChar w:fldCharType="separate"/>
            </w:r>
            <w:r>
              <w:rPr>
                <w:rStyle w:val="Style17"/>
              </w:rPr>
              <w:t>Сокращения</w:t>
              <w:tab/>
              <w:t>5</w:t>
            </w:r>
            <w:r>
              <w:rPr>
                <w:webHidden/>
              </w:rPr>
              <w:fldChar w:fldCharType="end"/>
            </w:r>
          </w:hyperlink>
        </w:p>
        <w:p>
          <w:pPr>
            <w:pStyle w:val="TOC1"/>
            <w:tabs>
              <w:tab w:val="left" w:pos="851" w:leader="none"/>
              <w:tab w:val="right" w:pos="9923" w:leader="none"/>
              <w:tab w:val="right" w:pos="10205" w:leader="dot"/>
            </w:tabs>
            <w:rPr/>
          </w:pPr>
          <w:hyperlink w:anchor="_Toc2" w:tgtFrame="#_Toc2">
            <w:r>
              <w:rPr>
                <w:webHidden/>
              </w:rPr>
              <w:fldChar w:fldCharType="begin"/>
            </w:r>
            <w:r>
              <w:rPr>
                <w:webHidden/>
              </w:rPr>
              <w:instrText xml:space="preserve">PAGEREF _Toc2 \h</w:instrText>
            </w:r>
            <w:r>
              <w:rPr>
                <w:webHidden/>
              </w:rPr>
              <w:fldChar w:fldCharType="separate"/>
            </w:r>
            <w:r>
              <w:rPr>
                <w:rStyle w:val="Style17"/>
              </w:rPr>
              <w:t>Термины и определения</w:t>
              <w:tab/>
              <w:t>7</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 w:tgtFrame="#_Toc3">
            <w:r>
              <w:rPr>
                <w:webHidden/>
              </w:rPr>
              <w:fldChar w:fldCharType="begin"/>
            </w:r>
            <w:r>
              <w:rPr>
                <w:webHidden/>
              </w:rPr>
              <w:instrText xml:space="preserve">PAGEREF _Toc3 \h</w:instrText>
            </w:r>
            <w:r>
              <w:rPr>
                <w:webHidden/>
              </w:rPr>
              <w:fldChar w:fldCharType="separate"/>
            </w:r>
            <w:r>
              <w:rPr>
                <w:rStyle w:val="Style17"/>
              </w:rPr>
              <w:t>1.</w:t>
              <w:tab/>
              <w:t>Основные сведения о закупке</w:t>
              <w:tab/>
              <w:t>11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 w:tgtFrame="#_Toc4">
            <w:r>
              <w:rPr>
                <w:webHidden/>
              </w:rPr>
              <w:fldChar w:fldCharType="begin"/>
            </w:r>
            <w:r>
              <w:rPr>
                <w:webHidden/>
              </w:rPr>
              <w:instrText xml:space="preserve">PAGEREF _Toc4 \h</w:instrText>
            </w:r>
            <w:r>
              <w:rPr>
                <w:webHidden/>
              </w:rPr>
              <w:fldChar w:fldCharType="separate"/>
            </w:r>
            <w:r>
              <w:rPr>
                <w:rStyle w:val="Style17"/>
              </w:rPr>
              <w:t>1.1</w:t>
              <w:tab/>
              <w:t>Статус настоящего раздела</w:t>
              <w:tab/>
              <w:t>11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5" w:tgtFrame="#_Toc5">
            <w:r>
              <w:rPr>
                <w:webHidden/>
              </w:rPr>
              <w:fldChar w:fldCharType="begin"/>
            </w:r>
            <w:r>
              <w:rPr>
                <w:webHidden/>
              </w:rPr>
              <w:instrText xml:space="preserve">PAGEREF _Toc5 \h</w:instrText>
            </w:r>
            <w:r>
              <w:rPr>
                <w:webHidden/>
              </w:rPr>
              <w:fldChar w:fldCharType="separate"/>
            </w:r>
            <w:r>
              <w:rPr>
                <w:rStyle w:val="Style17"/>
              </w:rPr>
              <w:t>1.2</w:t>
              <w:tab/>
              <w:t>Информация о проводимой закупке</w:t>
              <w:tab/>
              <w:t>11</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 w:tgtFrame="#_Toc6">
            <w:r>
              <w:rPr>
                <w:webHidden/>
              </w:rPr>
              <w:fldChar w:fldCharType="begin"/>
            </w:r>
            <w:r>
              <w:rPr>
                <w:webHidden/>
              </w:rPr>
              <w:instrText xml:space="preserve">PAGEREF _Toc6 \h</w:instrText>
            </w:r>
            <w:r>
              <w:rPr>
                <w:webHidden/>
              </w:rPr>
              <w:fldChar w:fldCharType="separate"/>
            </w:r>
            <w:r>
              <w:rPr>
                <w:rStyle w:val="Style17"/>
              </w:rPr>
              <w:t>2.</w:t>
              <w:tab/>
              <w:t>Общие положения</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7" w:tgtFrame="#_Toc7">
            <w:r>
              <w:rPr>
                <w:webHidden/>
              </w:rPr>
              <w:fldChar w:fldCharType="begin"/>
            </w:r>
            <w:r>
              <w:rPr>
                <w:webHidden/>
              </w:rPr>
              <w:instrText xml:space="preserve">PAGEREF _Toc7 \h</w:instrText>
            </w:r>
            <w:r>
              <w:rPr>
                <w:webHidden/>
              </w:rPr>
              <w:fldChar w:fldCharType="separate"/>
            </w:r>
            <w:r>
              <w:rPr>
                <w:rStyle w:val="Style17"/>
              </w:rPr>
              <w:t>2.1</w:t>
              <w:tab/>
              <w:t>Общие сведения о закупке</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8" w:tgtFrame="#_Toc8">
            <w:r>
              <w:rPr>
                <w:webHidden/>
              </w:rPr>
              <w:fldChar w:fldCharType="begin"/>
            </w:r>
            <w:r>
              <w:rPr>
                <w:webHidden/>
              </w:rPr>
              <w:instrText xml:space="preserve">PAGEREF _Toc8 \h</w:instrText>
            </w:r>
            <w:r>
              <w:rPr>
                <w:webHidden/>
              </w:rPr>
              <w:fldChar w:fldCharType="separate"/>
            </w:r>
            <w:r>
              <w:rPr>
                <w:rStyle w:val="Style17"/>
              </w:rPr>
              <w:t>2.2</w:t>
              <w:tab/>
              <w:t>Правовой статус документов</w:t>
              <w:tab/>
              <w:t>16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9" w:tgtFrame="#_Toc9">
            <w:r>
              <w:rPr>
                <w:webHidden/>
              </w:rPr>
              <w:fldChar w:fldCharType="begin"/>
            </w:r>
            <w:r>
              <w:rPr>
                <w:webHidden/>
              </w:rPr>
              <w:instrText xml:space="preserve">PAGEREF _Toc9 \h</w:instrText>
            </w:r>
            <w:r>
              <w:rPr>
                <w:webHidden/>
              </w:rPr>
              <w:fldChar w:fldCharType="separate"/>
            </w:r>
            <w:r>
              <w:rPr>
                <w:rStyle w:val="Style17"/>
              </w:rPr>
              <w:t>2.3</w:t>
              <w:tab/>
              <w:t>Обжалование</w:t>
              <w:tab/>
              <w:t>17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0" w:tgtFrame="#_Toc10">
            <w:r>
              <w:rPr>
                <w:webHidden/>
              </w:rPr>
              <w:fldChar w:fldCharType="begin"/>
            </w:r>
            <w:r>
              <w:rPr>
                <w:webHidden/>
              </w:rPr>
              <w:instrText xml:space="preserve">PAGEREF _Toc10 \h</w:instrText>
            </w:r>
            <w:r>
              <w:rPr>
                <w:webHidden/>
              </w:rPr>
              <w:fldChar w:fldCharType="separate"/>
            </w:r>
            <w:r>
              <w:rPr>
                <w:rStyle w:val="Style17"/>
              </w:rPr>
              <w:t>2.4</w:t>
              <w:tab/>
              <w:t>Особые положения при проведении закупки с использованием ЭП</w:t>
              <w:tab/>
              <w:t>18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1" w:tgtFrame="#_Toc11">
            <w:r>
              <w:rPr>
                <w:webHidden/>
              </w:rPr>
              <w:fldChar w:fldCharType="begin"/>
            </w:r>
            <w:r>
              <w:rPr>
                <w:webHidden/>
              </w:rPr>
              <w:instrText xml:space="preserve">PAGEREF _Toc11 \h</w:instrText>
            </w:r>
            <w:r>
              <w:rPr>
                <w:webHidden/>
              </w:rPr>
              <w:fldChar w:fldCharType="separate"/>
            </w:r>
            <w:r>
              <w:rPr>
                <w:rStyle w:val="Style17"/>
              </w:rPr>
              <w:t>2.5</w:t>
              <w:tab/>
              <w:t>Прочие положения</w:t>
              <w:tab/>
              <w:t>18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12" w:tgtFrame="#_Toc12">
            <w:r>
              <w:rPr>
                <w:webHidden/>
              </w:rPr>
              <w:fldChar w:fldCharType="begin"/>
            </w:r>
            <w:r>
              <w:rPr>
                <w:webHidden/>
              </w:rPr>
              <w:instrText xml:space="preserve">PAGEREF _Toc12 \h</w:instrText>
            </w:r>
            <w:r>
              <w:rPr>
                <w:webHidden/>
              </w:rPr>
              <w:fldChar w:fldCharType="separate"/>
            </w:r>
            <w:r>
              <w:rPr>
                <w:rStyle w:val="Style17"/>
              </w:rPr>
              <w:t>3.</w:t>
              <w:tab/>
              <w:t>Требования к Участникам</w:t>
              <w:tab/>
              <w:t>19</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3" w:tgtFrame="#_Toc13">
            <w:r>
              <w:rPr>
                <w:webHidden/>
              </w:rPr>
              <w:fldChar w:fldCharType="begin"/>
            </w:r>
            <w:r>
              <w:rPr>
                <w:webHidden/>
              </w:rPr>
              <w:instrText xml:space="preserve">PAGEREF _Toc13 \h</w:instrText>
            </w:r>
            <w:r>
              <w:rPr>
                <w:webHidden/>
              </w:rPr>
              <w:fldChar w:fldCharType="separate"/>
            </w:r>
            <w:r>
              <w:rPr>
                <w:rStyle w:val="Style17"/>
              </w:rPr>
              <w:t>3.1</w:t>
              <w:tab/>
              <w:t>Общие требования к Участникам</w:t>
              <w:tab/>
              <w:t>19</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4" w:tgtFrame="#_Toc14">
            <w:r>
              <w:rPr>
                <w:webHidden/>
              </w:rPr>
              <w:fldChar w:fldCharType="begin"/>
            </w:r>
            <w:r>
              <w:rPr>
                <w:webHidden/>
              </w:rPr>
              <w:instrText xml:space="preserve">PAGEREF _Toc14 \h</w:instrText>
            </w:r>
            <w:r>
              <w:rPr>
                <w:webHidden/>
              </w:rPr>
              <w:fldChar w:fldCharType="separate"/>
            </w:r>
            <w:r>
              <w:rPr>
                <w:rStyle w:val="Style17"/>
              </w:rPr>
              <w:t>3.2</w:t>
              <w:tab/>
              <w:t>Генеральные подрядчики</w:t>
              <w:tab/>
              <w:t>19</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15" w:tgtFrame="#_Toc15">
            <w:r>
              <w:rPr>
                <w:webHidden/>
              </w:rPr>
              <w:fldChar w:fldCharType="begin"/>
            </w:r>
            <w:r>
              <w:rPr>
                <w:webHidden/>
              </w:rPr>
              <w:instrText xml:space="preserve">PAGEREF _Toc15 \h</w:instrText>
            </w:r>
            <w:r>
              <w:rPr>
                <w:webHidden/>
              </w:rPr>
              <w:fldChar w:fldCharType="separate"/>
            </w:r>
            <w:r>
              <w:rPr>
                <w:rStyle w:val="Style17"/>
              </w:rPr>
              <w:t>4.</w:t>
              <w:tab/>
              <w:t>Порядок проведения закупки</w:t>
              <w:tab/>
              <w:t>21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6" w:tgtFrame="#_Toc16">
            <w:r>
              <w:rPr>
                <w:webHidden/>
              </w:rPr>
              <w:fldChar w:fldCharType="begin"/>
            </w:r>
            <w:r>
              <w:rPr>
                <w:webHidden/>
              </w:rPr>
              <w:instrText xml:space="preserve">PAGEREF _Toc16 \h</w:instrText>
            </w:r>
            <w:r>
              <w:rPr>
                <w:webHidden/>
              </w:rPr>
              <w:fldChar w:fldCharType="separate"/>
            </w:r>
            <w:r>
              <w:rPr>
                <w:rStyle w:val="Style17"/>
              </w:rPr>
              <w:t>4.1</w:t>
              <w:tab/>
              <w:t>Общий порядок проведения закупки</w:t>
              <w:tab/>
              <w:t>21</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7" w:tgtFrame="#_Toc17">
            <w:r>
              <w:rPr>
                <w:webHidden/>
              </w:rPr>
              <w:fldChar w:fldCharType="begin"/>
            </w:r>
            <w:r>
              <w:rPr>
                <w:webHidden/>
              </w:rPr>
              <w:instrText xml:space="preserve">PAGEREF _Toc17 \h</w:instrText>
            </w:r>
            <w:r>
              <w:rPr>
                <w:webHidden/>
              </w:rPr>
              <w:fldChar w:fldCharType="separate"/>
            </w:r>
            <w:r>
              <w:rPr>
                <w:rStyle w:val="Style17"/>
              </w:rPr>
              <w:t>4.2</w:t>
              <w:tab/>
              <w:t>Официальное размещение Извещения и Документации о закупке</w:t>
              <w:tab/>
              <w:t>22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8" w:tgtFrame="#_Toc18">
            <w:r>
              <w:rPr>
                <w:webHidden/>
              </w:rPr>
              <w:fldChar w:fldCharType="begin"/>
            </w:r>
            <w:r>
              <w:rPr>
                <w:webHidden/>
              </w:rPr>
              <w:instrText xml:space="preserve">PAGEREF _Toc18 \h</w:instrText>
            </w:r>
            <w:r>
              <w:rPr>
                <w:webHidden/>
              </w:rPr>
              <w:fldChar w:fldCharType="separate"/>
            </w:r>
            <w:r>
              <w:rPr>
                <w:rStyle w:val="Style17"/>
              </w:rPr>
              <w:t>4.3</w:t>
              <w:tab/>
              <w:t>Подготовка заявки</w:t>
              <w:tab/>
              <w:t>22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19" w:tgtFrame="#_Toc19">
            <w:r>
              <w:rPr>
                <w:webHidden/>
              </w:rPr>
              <w:fldChar w:fldCharType="begin"/>
            </w:r>
            <w:r>
              <w:rPr>
                <w:webHidden/>
              </w:rPr>
              <w:instrText xml:space="preserve">PAGEREF _Toc19 \h</w:instrText>
            </w:r>
            <w:r>
              <w:rPr>
                <w:webHidden/>
              </w:rPr>
              <w:fldChar w:fldCharType="separate"/>
            </w:r>
            <w:r>
              <w:rPr>
                <w:rStyle w:val="Style17"/>
              </w:rPr>
              <w:t>4.4</w:t>
              <w:tab/>
              <w:t>Разъяснение Документации о закупке</w:t>
              <w:tab/>
              <w:t>25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0" w:tgtFrame="#_Toc20">
            <w:r>
              <w:rPr>
                <w:webHidden/>
              </w:rPr>
              <w:fldChar w:fldCharType="begin"/>
            </w:r>
            <w:r>
              <w:rPr>
                <w:webHidden/>
              </w:rPr>
              <w:instrText xml:space="preserve">PAGEREF _Toc20 \h</w:instrText>
            </w:r>
            <w:r>
              <w:rPr>
                <w:webHidden/>
              </w:rPr>
              <w:fldChar w:fldCharType="separate"/>
            </w:r>
            <w:r>
              <w:rPr>
                <w:rStyle w:val="Style17"/>
              </w:rPr>
              <w:t>4.5</w:t>
              <w:tab/>
              <w:t>Изменения Извещения и (или) Документации о закупке</w:t>
              <w:tab/>
              <w:t>25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1" w:tgtFrame="#_Toc21">
            <w:r>
              <w:rPr>
                <w:webHidden/>
              </w:rPr>
              <w:fldChar w:fldCharType="begin"/>
            </w:r>
            <w:r>
              <w:rPr>
                <w:webHidden/>
              </w:rPr>
              <w:instrText xml:space="preserve">PAGEREF _Toc21 \h</w:instrText>
            </w:r>
            <w:r>
              <w:rPr>
                <w:webHidden/>
              </w:rPr>
              <w:fldChar w:fldCharType="separate"/>
            </w:r>
            <w:r>
              <w:rPr>
                <w:rStyle w:val="Style17"/>
              </w:rPr>
              <w:t>4.6</w:t>
              <w:tab/>
              <w:t>Подача заявок и их прием</w:t>
              <w:tab/>
              <w:t>26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2" w:tgtFrame="#_Toc22">
            <w:r>
              <w:rPr>
                <w:webHidden/>
              </w:rPr>
              <w:fldChar w:fldCharType="begin"/>
            </w:r>
            <w:r>
              <w:rPr>
                <w:webHidden/>
              </w:rPr>
              <w:instrText xml:space="preserve">PAGEREF _Toc22 \h</w:instrText>
            </w:r>
            <w:r>
              <w:rPr>
                <w:webHidden/>
              </w:rPr>
              <w:fldChar w:fldCharType="separate"/>
            </w:r>
            <w:r>
              <w:rPr>
                <w:rStyle w:val="Style17"/>
              </w:rPr>
              <w:t>4.7</w:t>
              <w:tab/>
              <w:t>Изменение и отзыв заявок</w:t>
              <w:tab/>
              <w:t>26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3" w:tgtFrame="#_Toc23">
            <w:r>
              <w:rPr>
                <w:webHidden/>
              </w:rPr>
              <w:fldChar w:fldCharType="begin"/>
            </w:r>
            <w:r>
              <w:rPr>
                <w:webHidden/>
              </w:rPr>
              <w:instrText xml:space="preserve">PAGEREF _Toc23 \h</w:instrText>
            </w:r>
            <w:r>
              <w:rPr>
                <w:webHidden/>
              </w:rPr>
              <w:fldChar w:fldCharType="separate"/>
            </w:r>
            <w:r>
              <w:rPr>
                <w:rStyle w:val="Style17"/>
              </w:rPr>
              <w:t>4.8</w:t>
              <w:tab/>
              <w:t>Открытие доступа к первым частям заявок</w:t>
              <w:tab/>
              <w:t>27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24" w:tgtFrame="#_Toc24">
            <w:r>
              <w:rPr>
                <w:webHidden/>
              </w:rPr>
              <w:fldChar w:fldCharType="begin"/>
            </w:r>
            <w:r>
              <w:rPr>
                <w:webHidden/>
              </w:rPr>
              <w:instrText xml:space="preserve">PAGEREF _Toc24 \h</w:instrText>
            </w:r>
            <w:r>
              <w:rPr>
                <w:webHidden/>
              </w:rPr>
              <w:fldChar w:fldCharType="separate"/>
            </w:r>
            <w:r>
              <w:rPr>
                <w:rStyle w:val="Style17"/>
              </w:rPr>
              <w:t>4.9</w:t>
              <w:tab/>
              <w:t>Рассмотрение первых частей заявок / окончательных предложений (отборочная стадия)</w:t>
              <w:tab/>
              <w:t>27</w:t>
            </w:r>
            <w:r>
              <w:rPr>
                <w:webHidden/>
              </w:rPr>
              <w:fldChar w:fldCharType="end"/>
            </w:r>
          </w:hyperlink>
        </w:p>
        <w:p>
          <w:pPr>
            <w:pStyle w:val="TOC2"/>
            <w:tabs>
              <w:tab w:val="clear" w:pos="851"/>
              <w:tab w:val="left" w:pos="850" w:leader="none"/>
              <w:tab w:val="right" w:pos="9923" w:leader="none"/>
              <w:tab w:val="right" w:pos="10205" w:leader="dot"/>
            </w:tabs>
            <w:rPr/>
          </w:pPr>
          <w:hyperlink w:anchor="_Toc25" w:tgtFrame="#_Toc25">
            <w:r>
              <w:rPr>
                <w:webHidden/>
              </w:rPr>
              <w:fldChar w:fldCharType="begin"/>
            </w:r>
            <w:r>
              <w:rPr>
                <w:webHidden/>
              </w:rPr>
              <w:instrText xml:space="preserve">PAGEREF _Toc25 \h</w:instrText>
            </w:r>
            <w:r>
              <w:rPr>
                <w:webHidden/>
              </w:rPr>
              <w:fldChar w:fldCharType="separate"/>
            </w:r>
            <w:r>
              <w:rPr>
                <w:rStyle w:val="Style17"/>
              </w:rPr>
              <w:t>4.10</w:t>
              <w:tab/>
              <w:t>Открытие доступа ко вторым частям заявок и ценовым предложениям</w:t>
              <w:tab/>
              <w:t>28</w:t>
            </w:r>
            <w:r>
              <w:rPr>
                <w:webHidden/>
              </w:rPr>
              <w:fldChar w:fldCharType="end"/>
            </w:r>
          </w:hyperlink>
        </w:p>
        <w:p>
          <w:pPr>
            <w:pStyle w:val="TOC2"/>
            <w:tabs>
              <w:tab w:val="clear" w:pos="851"/>
              <w:tab w:val="left" w:pos="850" w:leader="none"/>
              <w:tab w:val="right" w:pos="9923" w:leader="none"/>
              <w:tab w:val="right" w:pos="10205" w:leader="dot"/>
            </w:tabs>
            <w:rPr/>
          </w:pPr>
          <w:hyperlink w:anchor="_Toc26" w:tgtFrame="#_Toc26">
            <w:r>
              <w:rPr>
                <w:webHidden/>
              </w:rPr>
              <w:fldChar w:fldCharType="begin"/>
            </w:r>
            <w:r>
              <w:rPr>
                <w:webHidden/>
              </w:rPr>
              <w:instrText xml:space="preserve">PAGEREF _Toc26 \h</w:instrText>
            </w:r>
            <w:r>
              <w:rPr>
                <w:webHidden/>
              </w:rPr>
              <w:fldChar w:fldCharType="separate"/>
            </w:r>
            <w:r>
              <w:rPr>
                <w:rStyle w:val="Style17"/>
              </w:rPr>
              <w:t>4.11</w:t>
              <w:tab/>
              <w:t>Рассмотрение вторых частей заявок (отборочная стадия), в том числе (при необходимости) проведение аккредитации, и ценовых предложений</w:t>
              <w:tab/>
              <w:t>28</w:t>
            </w:r>
            <w:r>
              <w:rPr>
                <w:webHidden/>
              </w:rPr>
              <w:fldChar w:fldCharType="end"/>
            </w:r>
          </w:hyperlink>
        </w:p>
        <w:p>
          <w:pPr>
            <w:pStyle w:val="TOC2"/>
            <w:tabs>
              <w:tab w:val="clear" w:pos="851"/>
              <w:tab w:val="left" w:pos="850" w:leader="none"/>
              <w:tab w:val="right" w:pos="9923" w:leader="none"/>
              <w:tab w:val="right" w:pos="10205" w:leader="dot"/>
            </w:tabs>
            <w:rPr/>
          </w:pPr>
          <w:hyperlink w:anchor="_Toc27" w:tgtFrame="#_Toc27">
            <w:r>
              <w:rPr>
                <w:webHidden/>
              </w:rPr>
              <w:fldChar w:fldCharType="begin"/>
            </w:r>
            <w:r>
              <w:rPr>
                <w:webHidden/>
              </w:rPr>
              <w:instrText xml:space="preserve">PAGEREF _Toc27 \h</w:instrText>
            </w:r>
            <w:r>
              <w:rPr>
                <w:webHidden/>
              </w:rPr>
              <w:fldChar w:fldCharType="separate"/>
            </w:r>
            <w:r>
              <w:rPr>
                <w:rStyle w:val="Style17"/>
              </w:rPr>
              <w:t>4.12</w:t>
              <w:tab/>
              <w:t>Дополнительные запросы разъяснений заявок</w:t>
              <w:tab/>
              <w:t>30</w:t>
            </w:r>
            <w:r>
              <w:rPr>
                <w:webHidden/>
              </w:rPr>
              <w:fldChar w:fldCharType="end"/>
            </w:r>
          </w:hyperlink>
        </w:p>
        <w:p>
          <w:pPr>
            <w:pStyle w:val="TOC2"/>
            <w:tabs>
              <w:tab w:val="clear" w:pos="851"/>
              <w:tab w:val="left" w:pos="850" w:leader="none"/>
              <w:tab w:val="right" w:pos="9923" w:leader="none"/>
              <w:tab w:val="right" w:pos="10205" w:leader="dot"/>
            </w:tabs>
            <w:rPr/>
          </w:pPr>
          <w:hyperlink w:anchor="_Toc28" w:tgtFrame="#_Toc28">
            <w:r>
              <w:rPr>
                <w:webHidden/>
              </w:rPr>
              <w:fldChar w:fldCharType="begin"/>
            </w:r>
            <w:r>
              <w:rPr>
                <w:webHidden/>
              </w:rPr>
              <w:instrText xml:space="preserve">PAGEREF _Toc28 \h</w:instrText>
            </w:r>
            <w:r>
              <w:rPr>
                <w:webHidden/>
              </w:rPr>
              <w:fldChar w:fldCharType="separate"/>
            </w:r>
            <w:r>
              <w:rPr>
                <w:rStyle w:val="Style17"/>
              </w:rPr>
              <w:t>4.13</w:t>
              <w:tab/>
              <w:t>Оценка и сопоставление заявок</w:t>
              <w:tab/>
              <w:t>32</w:t>
            </w:r>
            <w:r>
              <w:rPr>
                <w:webHidden/>
              </w:rPr>
              <w:fldChar w:fldCharType="end"/>
            </w:r>
          </w:hyperlink>
        </w:p>
        <w:p>
          <w:pPr>
            <w:pStyle w:val="TOC2"/>
            <w:tabs>
              <w:tab w:val="clear" w:pos="851"/>
              <w:tab w:val="left" w:pos="850" w:leader="none"/>
              <w:tab w:val="right" w:pos="9923" w:leader="none"/>
              <w:tab w:val="right" w:pos="10205" w:leader="dot"/>
            </w:tabs>
            <w:rPr/>
          </w:pPr>
          <w:hyperlink w:anchor="_Toc29" w:tgtFrame="#_Toc29">
            <w:r>
              <w:rPr>
                <w:webHidden/>
              </w:rPr>
              <w:fldChar w:fldCharType="begin"/>
            </w:r>
            <w:r>
              <w:rPr>
                <w:webHidden/>
              </w:rPr>
              <w:instrText xml:space="preserve">PAGEREF _Toc29 \h</w:instrText>
            </w:r>
            <w:r>
              <w:rPr>
                <w:webHidden/>
              </w:rPr>
              <w:fldChar w:fldCharType="separate"/>
            </w:r>
            <w:r>
              <w:rPr>
                <w:rStyle w:val="Style17"/>
              </w:rPr>
              <w:t>4.14</w:t>
              <w:tab/>
              <w:t>Применение законодательства о национальном режиме</w:t>
              <w:tab/>
              <w:t>32</w:t>
            </w:r>
            <w:r>
              <w:rPr>
                <w:webHidden/>
              </w:rPr>
              <w:fldChar w:fldCharType="end"/>
            </w:r>
          </w:hyperlink>
        </w:p>
        <w:p>
          <w:pPr>
            <w:pStyle w:val="TOC2"/>
            <w:tabs>
              <w:tab w:val="clear" w:pos="851"/>
              <w:tab w:val="left" w:pos="850" w:leader="none"/>
              <w:tab w:val="right" w:pos="9923" w:leader="none"/>
              <w:tab w:val="right" w:pos="10205" w:leader="dot"/>
            </w:tabs>
            <w:rPr/>
          </w:pPr>
          <w:hyperlink w:anchor="_Toc30" w:tgtFrame="#_Toc30">
            <w:r>
              <w:rPr>
                <w:webHidden/>
              </w:rPr>
              <w:fldChar w:fldCharType="begin"/>
            </w:r>
            <w:r>
              <w:rPr>
                <w:webHidden/>
              </w:rPr>
              <w:instrText xml:space="preserve">PAGEREF _Toc30 \h</w:instrText>
            </w:r>
            <w:r>
              <w:rPr>
                <w:webHidden/>
              </w:rPr>
              <w:fldChar w:fldCharType="separate"/>
            </w:r>
            <w:r>
              <w:rPr>
                <w:rStyle w:val="Style17"/>
              </w:rPr>
              <w:t>4.15</w:t>
              <w:tab/>
              <w:t>Подведение итогов закупки (определение Победителя)</w:t>
              <w:tab/>
              <w:t>34</w:t>
            </w:r>
            <w:r>
              <w:rPr>
                <w:webHidden/>
              </w:rPr>
              <w:fldChar w:fldCharType="end"/>
            </w:r>
          </w:hyperlink>
        </w:p>
        <w:p>
          <w:pPr>
            <w:pStyle w:val="TOC2"/>
            <w:tabs>
              <w:tab w:val="clear" w:pos="851"/>
              <w:tab w:val="left" w:pos="850" w:leader="none"/>
              <w:tab w:val="right" w:pos="9923" w:leader="none"/>
              <w:tab w:val="right" w:pos="10205" w:leader="dot"/>
            </w:tabs>
            <w:rPr/>
          </w:pPr>
          <w:hyperlink w:anchor="_Toc31" w:tgtFrame="#_Toc31">
            <w:r>
              <w:rPr>
                <w:webHidden/>
              </w:rPr>
              <w:fldChar w:fldCharType="begin"/>
            </w:r>
            <w:r>
              <w:rPr>
                <w:webHidden/>
              </w:rPr>
              <w:instrText xml:space="preserve">PAGEREF _Toc31 \h</w:instrText>
            </w:r>
            <w:r>
              <w:rPr>
                <w:webHidden/>
              </w:rPr>
              <w:fldChar w:fldCharType="separate"/>
            </w:r>
            <w:r>
              <w:rPr>
                <w:rStyle w:val="Style17"/>
              </w:rPr>
              <w:t>4.16</w:t>
              <w:tab/>
              <w:t>Признание закупки несостоявшейся</w:t>
              <w:tab/>
              <w:t>36</w:t>
            </w:r>
            <w:r>
              <w:rPr>
                <w:webHidden/>
              </w:rPr>
              <w:fldChar w:fldCharType="end"/>
            </w:r>
          </w:hyperlink>
        </w:p>
        <w:p>
          <w:pPr>
            <w:pStyle w:val="TOC2"/>
            <w:tabs>
              <w:tab w:val="clear" w:pos="851"/>
              <w:tab w:val="left" w:pos="850" w:leader="none"/>
              <w:tab w:val="right" w:pos="9923" w:leader="none"/>
              <w:tab w:val="right" w:pos="10205" w:leader="dot"/>
            </w:tabs>
            <w:rPr/>
          </w:pPr>
          <w:hyperlink w:anchor="_Toc32" w:tgtFrame="#_Toc32">
            <w:r>
              <w:rPr>
                <w:webHidden/>
              </w:rPr>
              <w:fldChar w:fldCharType="begin"/>
            </w:r>
            <w:r>
              <w:rPr>
                <w:webHidden/>
              </w:rPr>
              <w:instrText xml:space="preserve">PAGEREF _Toc32 \h</w:instrText>
            </w:r>
            <w:r>
              <w:rPr>
                <w:webHidden/>
              </w:rPr>
              <w:fldChar w:fldCharType="separate"/>
            </w:r>
            <w:r>
              <w:rPr>
                <w:rStyle w:val="Style17"/>
              </w:rPr>
              <w:t>4.17</w:t>
              <w:tab/>
              <w:t>Отказ от проведения закупки (отмена закупки)</w:t>
              <w:tab/>
              <w:t>37</w:t>
            </w:r>
            <w:r>
              <w:rPr>
                <w:webHidden/>
              </w:rPr>
              <w:fldChar w:fldCharType="end"/>
            </w:r>
          </w:hyperlink>
        </w:p>
        <w:p>
          <w:pPr>
            <w:pStyle w:val="TOC2"/>
            <w:tabs>
              <w:tab w:val="clear" w:pos="851"/>
              <w:tab w:val="left" w:pos="850" w:leader="none"/>
              <w:tab w:val="right" w:pos="9923" w:leader="none"/>
              <w:tab w:val="right" w:pos="10205" w:leader="dot"/>
            </w:tabs>
            <w:rPr/>
          </w:pPr>
          <w:hyperlink w:anchor="_Toc33" w:tgtFrame="#_Toc33">
            <w:r>
              <w:rPr>
                <w:webHidden/>
              </w:rPr>
              <w:fldChar w:fldCharType="begin"/>
            </w:r>
            <w:r>
              <w:rPr>
                <w:webHidden/>
              </w:rPr>
              <w:instrText xml:space="preserve">PAGEREF _Toc33 \h</w:instrText>
            </w:r>
            <w:r>
              <w:rPr>
                <w:webHidden/>
              </w:rPr>
              <w:fldChar w:fldCharType="separate"/>
            </w:r>
            <w:r>
              <w:rPr>
                <w:rStyle w:val="Style17"/>
              </w:rPr>
              <w:t>4.18</w:t>
              <w:tab/>
              <w:t>Особенности проведения закупки с необходимостью обеспечения заявки</w:t>
              <w:tab/>
              <w:t>38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4" w:tgtFrame="#_Toc34">
            <w:r>
              <w:rPr>
                <w:webHidden/>
              </w:rPr>
              <w:fldChar w:fldCharType="begin"/>
            </w:r>
            <w:r>
              <w:rPr>
                <w:webHidden/>
              </w:rPr>
              <w:instrText xml:space="preserve">PAGEREF _Toc34 \h</w:instrText>
            </w:r>
            <w:r>
              <w:rPr>
                <w:webHidden/>
              </w:rPr>
              <w:fldChar w:fldCharType="separate"/>
            </w:r>
            <w:r>
              <w:rPr>
                <w:rStyle w:val="Style17"/>
              </w:rPr>
              <w:t>5.</w:t>
              <w:tab/>
              <w:t>Порядок заключения Договора</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5" w:tgtFrame="#_Toc35">
            <w:r>
              <w:rPr>
                <w:webHidden/>
              </w:rPr>
              <w:fldChar w:fldCharType="begin"/>
            </w:r>
            <w:r>
              <w:rPr>
                <w:webHidden/>
              </w:rPr>
              <w:instrText xml:space="preserve">PAGEREF _Toc35 \h</w:instrText>
            </w:r>
            <w:r>
              <w:rPr>
                <w:webHidden/>
              </w:rPr>
              <w:fldChar w:fldCharType="separate"/>
            </w:r>
            <w:r>
              <w:rPr>
                <w:rStyle w:val="Style17"/>
              </w:rPr>
              <w:t>5.1</w:t>
              <w:tab/>
              <w:t>Общие положения</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6" w:tgtFrame="#_Toc36">
            <w:r>
              <w:rPr>
                <w:webHidden/>
              </w:rPr>
              <w:fldChar w:fldCharType="begin"/>
            </w:r>
            <w:r>
              <w:rPr>
                <w:webHidden/>
              </w:rPr>
              <w:instrText xml:space="preserve">PAGEREF _Toc36 \h</w:instrText>
            </w:r>
            <w:r>
              <w:rPr>
                <w:webHidden/>
              </w:rPr>
              <w:fldChar w:fldCharType="separate"/>
            </w:r>
            <w:r>
              <w:rPr>
                <w:rStyle w:val="Style17"/>
              </w:rPr>
              <w:t>5.2</w:t>
              <w:tab/>
              <w:t>Заключение Договора</w:t>
              <w:tab/>
              <w:t>42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7" w:tgtFrame="#_Toc37">
            <w:r>
              <w:rPr>
                <w:webHidden/>
              </w:rPr>
              <w:fldChar w:fldCharType="begin"/>
            </w:r>
            <w:r>
              <w:rPr>
                <w:webHidden/>
              </w:rPr>
              <w:instrText xml:space="preserve">PAGEREF _Toc37 \h</w:instrText>
            </w:r>
            <w:r>
              <w:rPr>
                <w:webHidden/>
              </w:rPr>
              <w:fldChar w:fldCharType="separate"/>
            </w:r>
            <w:r>
              <w:rPr>
                <w:rStyle w:val="Style17"/>
              </w:rPr>
              <w:t>5.3</w:t>
              <w:tab/>
              <w:t>Уклонение Победителя от заключения Договора</w:t>
              <w:tab/>
              <w:t>44</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38" w:tgtFrame="#_Toc38">
            <w:r>
              <w:rPr>
                <w:webHidden/>
              </w:rPr>
              <w:fldChar w:fldCharType="begin"/>
            </w:r>
            <w:r>
              <w:rPr>
                <w:webHidden/>
              </w:rPr>
              <w:instrText xml:space="preserve">PAGEREF _Toc38 \h</w:instrText>
            </w:r>
            <w:r>
              <w:rPr>
                <w:webHidden/>
              </w:rPr>
              <w:fldChar w:fldCharType="separate"/>
            </w:r>
            <w:r>
              <w:rPr>
                <w:rStyle w:val="Style17"/>
              </w:rPr>
              <w:t>6.</w:t>
              <w:tab/>
              <w:t>Приложение № 1 – Технические требования</w:t>
              <w:tab/>
              <w:t>46</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39" w:tgtFrame="#_Toc39">
            <w:r>
              <w:rPr>
                <w:webHidden/>
              </w:rPr>
              <w:fldChar w:fldCharType="begin"/>
            </w:r>
            <w:r>
              <w:rPr>
                <w:webHidden/>
              </w:rPr>
              <w:instrText xml:space="preserve">PAGEREF _Toc39 \h</w:instrText>
            </w:r>
            <w:r>
              <w:rPr>
                <w:webHidden/>
              </w:rPr>
              <w:fldChar w:fldCharType="separate"/>
            </w:r>
            <w:r>
              <w:rPr>
                <w:rStyle w:val="Style17"/>
              </w:rPr>
              <w:t>6.1</w:t>
              <w:tab/>
              <w:t>Пояснения к Техническим требованиям</w:t>
              <w:tab/>
              <w:t>46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0" w:tgtFrame="#_Toc40">
            <w:r>
              <w:rPr>
                <w:webHidden/>
              </w:rPr>
              <w:fldChar w:fldCharType="begin"/>
            </w:r>
            <w:r>
              <w:rPr>
                <w:webHidden/>
              </w:rPr>
              <w:instrText xml:space="preserve">PAGEREF _Toc40 \h</w:instrText>
            </w:r>
            <w:r>
              <w:rPr>
                <w:webHidden/>
              </w:rPr>
              <w:fldChar w:fldCharType="separate"/>
            </w:r>
            <w:r>
              <w:rPr>
                <w:rStyle w:val="Style17"/>
              </w:rPr>
              <w:t>7.</w:t>
              <w:tab/>
              <w:t>Приложение № 2 – Проект договора</w:t>
              <w:tab/>
              <w:t>47</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1" w:tgtFrame="#_Toc41">
            <w:r>
              <w:rPr>
                <w:webHidden/>
              </w:rPr>
              <w:fldChar w:fldCharType="begin"/>
            </w:r>
            <w:r>
              <w:rPr>
                <w:webHidden/>
              </w:rPr>
              <w:instrText xml:space="preserve">PAGEREF _Toc41 \h</w:instrText>
            </w:r>
            <w:r>
              <w:rPr>
                <w:webHidden/>
              </w:rPr>
              <w:fldChar w:fldCharType="separate"/>
            </w:r>
            <w:r>
              <w:rPr>
                <w:rStyle w:val="Style17"/>
              </w:rPr>
              <w:t>7.1</w:t>
              <w:tab/>
              <w:t>Пояснения к Проекту договора</w:t>
              <w:tab/>
              <w:t>47</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2" w:tgtFrame="#_Toc42">
            <w:r>
              <w:rPr>
                <w:webHidden/>
              </w:rPr>
              <w:fldChar w:fldCharType="begin"/>
            </w:r>
            <w:r>
              <w:rPr>
                <w:webHidden/>
              </w:rPr>
              <w:instrText xml:space="preserve">PAGEREF _Toc42 \h</w:instrText>
            </w:r>
            <w:r>
              <w:rPr>
                <w:webHidden/>
              </w:rPr>
              <w:fldChar w:fldCharType="separate"/>
            </w:r>
            <w:r>
              <w:rPr>
                <w:rStyle w:val="Style17"/>
              </w:rPr>
              <w:t>8.</w:t>
              <w:tab/>
              <w:t>Приложение № 3 – Требования к Участникам</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3" w:tgtFrame="#_Toc43">
            <w:r>
              <w:rPr>
                <w:webHidden/>
              </w:rPr>
              <w:fldChar w:fldCharType="begin"/>
            </w:r>
            <w:r>
              <w:rPr>
                <w:webHidden/>
              </w:rPr>
              <w:instrText xml:space="preserve">PAGEREF _Toc43 \h</w:instrText>
            </w:r>
            <w:r>
              <w:rPr>
                <w:webHidden/>
              </w:rPr>
              <w:fldChar w:fldCharType="separate"/>
            </w:r>
            <w:r>
              <w:rPr>
                <w:rStyle w:val="Style17"/>
              </w:rPr>
              <w:t>8.1</w:t>
              <w:tab/>
              <w:t>Пояснения к требованиям к Участникам</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4" w:tgtFrame="#_Toc44">
            <w:r>
              <w:rPr>
                <w:webHidden/>
              </w:rPr>
              <w:fldChar w:fldCharType="begin"/>
            </w:r>
            <w:r>
              <w:rPr>
                <w:webHidden/>
              </w:rPr>
              <w:instrText xml:space="preserve">PAGEREF _Toc44 \h</w:instrText>
            </w:r>
            <w:r>
              <w:rPr>
                <w:webHidden/>
              </w:rPr>
              <w:fldChar w:fldCharType="separate"/>
            </w:r>
            <w:r>
              <w:rPr>
                <w:rStyle w:val="Style17"/>
              </w:rPr>
              <w:t>8.2</w:t>
              <w:tab/>
              <w:t>Обязательные требования</w:t>
              <w:tab/>
              <w:t>48</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5" w:tgtFrame="#_Toc45">
            <w:r>
              <w:rPr>
                <w:webHidden/>
              </w:rPr>
              <w:fldChar w:fldCharType="begin"/>
            </w:r>
            <w:r>
              <w:rPr>
                <w:webHidden/>
              </w:rPr>
              <w:instrText xml:space="preserve">PAGEREF _Toc45 \h</w:instrText>
            </w:r>
            <w:r>
              <w:rPr>
                <w:webHidden/>
              </w:rPr>
              <w:fldChar w:fldCharType="separate"/>
            </w:r>
            <w:r>
              <w:rPr>
                <w:rStyle w:val="Style17"/>
              </w:rPr>
              <w:t>8.3</w:t>
              <w:tab/>
              <w:t>Специальные требования</w:t>
              <w:tab/>
              <w:t>52</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6" w:tgtFrame="#_Toc46">
            <w:r>
              <w:rPr>
                <w:webHidden/>
              </w:rPr>
              <w:fldChar w:fldCharType="begin"/>
            </w:r>
            <w:r>
              <w:rPr>
                <w:webHidden/>
              </w:rPr>
              <w:instrText xml:space="preserve">PAGEREF _Toc46 \h</w:instrText>
            </w:r>
            <w:r>
              <w:rPr>
                <w:webHidden/>
              </w:rPr>
              <w:fldChar w:fldCharType="separate"/>
            </w:r>
            <w:r>
              <w:rPr>
                <w:rStyle w:val="Style17"/>
              </w:rPr>
              <w:t>8.4</w:t>
              <w:tab/>
              <w:t>Дополнительные требования к Генеральным подрядчикам</w:t>
              <w:tab/>
              <w:t>53</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7" w:tgtFrame="#_Toc47">
            <w:r>
              <w:rPr>
                <w:webHidden/>
              </w:rPr>
              <w:fldChar w:fldCharType="begin"/>
            </w:r>
            <w:r>
              <w:rPr>
                <w:webHidden/>
              </w:rPr>
              <w:instrText xml:space="preserve">PAGEREF _Toc47 \h</w:instrText>
            </w:r>
            <w:r>
              <w:rPr>
                <w:webHidden/>
              </w:rPr>
              <w:fldChar w:fldCharType="separate"/>
            </w:r>
            <w:r>
              <w:rPr>
                <w:rStyle w:val="Style17"/>
              </w:rPr>
              <w:t>9.</w:t>
              <w:tab/>
              <w:t>Приложение № 4 – Образцы форм документов, включаемых в состав заявки</w:t>
              <w:tab/>
              <w:t>55</w:t>
            </w:r>
            <w:r>
              <w:rPr>
                <w:webHidden/>
              </w:rPr>
              <w:fldChar w:fldCharType="end"/>
            </w:r>
          </w:hyperlink>
        </w:p>
        <w:p>
          <w:pPr>
            <w:pStyle w:val="TOC2"/>
            <w:tabs>
              <w:tab w:val="left" w:pos="567" w:leader="none"/>
              <w:tab w:val="left" w:pos="851" w:leader="none"/>
              <w:tab w:val="right" w:pos="9923" w:leader="none"/>
              <w:tab w:val="right" w:pos="10205" w:leader="dot"/>
            </w:tabs>
            <w:rPr/>
          </w:pPr>
          <w:hyperlink w:anchor="_Toc48" w:tgtFrame="#_Toc48">
            <w:r>
              <w:rPr>
                <w:webHidden/>
              </w:rPr>
              <w:fldChar w:fldCharType="begin"/>
            </w:r>
            <w:r>
              <w:rPr>
                <w:webHidden/>
              </w:rPr>
              <w:instrText xml:space="preserve">PAGEREF _Toc48 \h</w:instrText>
            </w:r>
            <w:r>
              <w:rPr>
                <w:webHidden/>
              </w:rPr>
              <w:fldChar w:fldCharType="separate"/>
            </w:r>
            <w:r>
              <w:rPr>
                <w:rStyle w:val="Style17"/>
              </w:rPr>
              <w:t>9.1</w:t>
              <w:tab/>
              <w:t>Пояснения к Образцам форм документов, включаемых в состав заявки</w:t>
              <w:tab/>
              <w:t>55</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49" w:tgtFrame="#_Toc49">
            <w:r>
              <w:rPr>
                <w:webHidden/>
              </w:rPr>
              <w:fldChar w:fldCharType="begin"/>
            </w:r>
            <w:r>
              <w:rPr>
                <w:webHidden/>
              </w:rPr>
              <w:instrText xml:space="preserve">PAGEREF _Toc49 \h</w:instrText>
            </w:r>
            <w:r>
              <w:rPr>
                <w:webHidden/>
              </w:rPr>
              <w:fldChar w:fldCharType="separate"/>
            </w:r>
            <w:r>
              <w:rPr>
                <w:rStyle w:val="Style17"/>
              </w:rPr>
              <w:t>10.</w:t>
              <w:tab/>
              <w:t>Приложение № 5 – Образцы форм документов, предоставляемых Победителем</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0" w:tgtFrame="#_Toc50">
            <w:r>
              <w:rPr>
                <w:webHidden/>
              </w:rPr>
              <w:fldChar w:fldCharType="begin"/>
            </w:r>
            <w:r>
              <w:rPr>
                <w:webHidden/>
              </w:rPr>
              <w:instrText xml:space="preserve">PAGEREF _Toc50 \h</w:instrText>
            </w:r>
            <w:r>
              <w:rPr>
                <w:webHidden/>
              </w:rPr>
              <w:fldChar w:fldCharType="separate"/>
            </w:r>
            <w:r>
              <w:rPr>
                <w:rStyle w:val="Style17"/>
              </w:rPr>
              <w:t>10.1</w:t>
              <w:tab/>
              <w:t>Пояснения к Образцам форм документов, предоставляемых Победителем</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1" w:tgtFrame="#_Toc51">
            <w:r>
              <w:rPr>
                <w:webHidden/>
              </w:rPr>
              <w:fldChar w:fldCharType="begin"/>
            </w:r>
            <w:r>
              <w:rPr>
                <w:webHidden/>
              </w:rPr>
              <w:instrText xml:space="preserve">PAGEREF _Toc51 \h</w:instrText>
            </w:r>
            <w:r>
              <w:rPr>
                <w:webHidden/>
              </w:rPr>
              <w:fldChar w:fldCharType="separate"/>
            </w:r>
            <w:r>
              <w:rPr>
                <w:rStyle w:val="Style17"/>
              </w:rPr>
              <w:t>10.2</w:t>
              <w:tab/>
              <w:t>Форма справки «Сведения о цепочке собственников, включая бенефициаров (в том числе конечных)»</w:t>
              <w:tab/>
              <w:t>56</w:t>
            </w:r>
            <w:r>
              <w:rPr>
                <w:webHidden/>
              </w:rPr>
              <w:fldChar w:fldCharType="end"/>
            </w:r>
          </w:hyperlink>
        </w:p>
        <w:p>
          <w:pPr>
            <w:pStyle w:val="TOC2"/>
            <w:tabs>
              <w:tab w:val="clear" w:pos="851"/>
              <w:tab w:val="left" w:pos="850" w:leader="none"/>
              <w:tab w:val="right" w:pos="9923" w:leader="none"/>
              <w:tab w:val="right" w:pos="10205" w:leader="dot"/>
            </w:tabs>
            <w:rPr/>
          </w:pPr>
          <w:hyperlink w:anchor="_Toc52" w:tgtFrame="#_Toc52">
            <w:r>
              <w:rPr>
                <w:webHidden/>
              </w:rPr>
              <w:fldChar w:fldCharType="begin"/>
            </w:r>
            <w:r>
              <w:rPr>
                <w:webHidden/>
              </w:rPr>
              <w:instrText xml:space="preserve">PAGEREF _Toc52 \h</w:instrText>
            </w:r>
            <w:r>
              <w:rPr>
                <w:webHidden/>
              </w:rPr>
              <w:fldChar w:fldCharType="separate"/>
            </w:r>
            <w:r>
              <w:rPr>
                <w:rStyle w:val="Style17"/>
              </w:rPr>
              <w:t>10.3</w:t>
              <w:tab/>
              <w:t>Форма «Заверение об обстоятельствах»</w:t>
              <w:tab/>
              <w:t>56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53" w:tgtFrame="#_Toc53">
            <w:r>
              <w:rPr>
                <w:webHidden/>
              </w:rPr>
              <w:fldChar w:fldCharType="begin"/>
            </w:r>
            <w:r>
              <w:rPr>
                <w:webHidden/>
              </w:rPr>
              <w:instrText xml:space="preserve">PAGEREF _Toc53 \h</w:instrText>
            </w:r>
            <w:r>
              <w:rPr>
                <w:webHidden/>
              </w:rPr>
              <w:fldChar w:fldCharType="separate"/>
            </w:r>
            <w:r>
              <w:rPr>
                <w:rStyle w:val="Style17"/>
              </w:rPr>
              <w:t>11.</w:t>
              <w:tab/>
              <w:t>Приложение № 6 – Состав заявки</w:t>
              <w:tab/>
              <w:t>58</w:t>
            </w:r>
            <w:r>
              <w:rPr>
                <w:webHidden/>
              </w:rPr>
              <w:fldChar w:fldCharType="end"/>
            </w:r>
          </w:hyperlink>
        </w:p>
        <w:p>
          <w:pPr>
            <w:pStyle w:val="TOC2"/>
            <w:tabs>
              <w:tab w:val="clear" w:pos="851"/>
              <w:tab w:val="left" w:pos="850" w:leader="none"/>
              <w:tab w:val="right" w:pos="9923" w:leader="none"/>
              <w:tab w:val="right" w:pos="10205" w:leader="dot"/>
            </w:tabs>
            <w:rPr/>
          </w:pPr>
          <w:hyperlink w:anchor="_Toc54" w:tgtFrame="#_Toc54">
            <w:r>
              <w:rPr>
                <w:webHidden/>
              </w:rPr>
              <w:fldChar w:fldCharType="begin"/>
            </w:r>
            <w:r>
              <w:rPr>
                <w:webHidden/>
              </w:rPr>
              <w:instrText xml:space="preserve">PAGEREF _Toc54 \h</w:instrText>
            </w:r>
            <w:r>
              <w:rPr>
                <w:webHidden/>
              </w:rPr>
              <w:fldChar w:fldCharType="separate"/>
            </w:r>
            <w:r>
              <w:rPr>
                <w:rStyle w:val="Style17"/>
              </w:rPr>
              <w:t>11.1</w:t>
              <w:tab/>
              <w:t>Состав заявки</w:t>
              <w:tab/>
              <w:t>58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55" w:tgtFrame="#_Toc55">
            <w:r>
              <w:rPr>
                <w:webHidden/>
              </w:rPr>
              <w:fldChar w:fldCharType="begin"/>
            </w:r>
            <w:r>
              <w:rPr>
                <w:webHidden/>
              </w:rPr>
              <w:instrText xml:space="preserve">PAGEREF _Toc55 \h</w:instrText>
            </w:r>
            <w:r>
              <w:rPr>
                <w:webHidden/>
              </w:rPr>
              <w:fldChar w:fldCharType="separate"/>
            </w:r>
            <w:r>
              <w:rPr>
                <w:rStyle w:val="Style17"/>
              </w:rPr>
              <w:t>12.</w:t>
              <w:tab/>
              <w:t>Приложение № 7 – Отборочные критерии рассмотрения заявок</w:t>
              <w:tab/>
              <w:t>61</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6" w:tgtFrame="#_Toc56">
            <w:r>
              <w:rPr>
                <w:webHidden/>
              </w:rPr>
              <w:fldChar w:fldCharType="begin"/>
            </w:r>
            <w:r>
              <w:rPr>
                <w:webHidden/>
              </w:rPr>
              <w:instrText xml:space="preserve">PAGEREF _Toc56 \h</w:instrText>
            </w:r>
            <w:r>
              <w:rPr>
                <w:webHidden/>
              </w:rPr>
              <w:fldChar w:fldCharType="separate"/>
            </w:r>
            <w:r>
              <w:rPr>
                <w:rStyle w:val="Style17"/>
              </w:rPr>
              <w:t>12.1</w:t>
              <w:tab/>
              <w:t>Отборочные критерии рассмотрения первых частей заявок (первых частей заявок, содержащихся в окончательных предложениях)</w:t>
              <w:tab/>
              <w:t>61</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7" w:tgtFrame="#_Toc57">
            <w:r>
              <w:rPr>
                <w:webHidden/>
              </w:rPr>
              <w:fldChar w:fldCharType="begin"/>
            </w:r>
            <w:r>
              <w:rPr>
                <w:webHidden/>
              </w:rPr>
              <w:instrText xml:space="preserve">PAGEREF _Toc57 \h</w:instrText>
            </w:r>
            <w:r>
              <w:rPr>
                <w:webHidden/>
              </w:rPr>
              <w:fldChar w:fldCharType="separate"/>
            </w:r>
            <w:r>
              <w:rPr>
                <w:rStyle w:val="Style17"/>
              </w:rPr>
              <w:t>12.2</w:t>
              <w:tab/>
              <w:t>Отборочные критерии рассмотрения вторых частей заявок</w:t>
              <w:tab/>
              <w:t>62</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8" w:tgtFrame="#_Toc58">
            <w:r>
              <w:rPr>
                <w:webHidden/>
              </w:rPr>
              <w:fldChar w:fldCharType="begin"/>
            </w:r>
            <w:r>
              <w:rPr>
                <w:webHidden/>
              </w:rPr>
              <w:instrText xml:space="preserve">PAGEREF _Toc58 \h</w:instrText>
            </w:r>
            <w:r>
              <w:rPr>
                <w:webHidden/>
              </w:rPr>
              <w:fldChar w:fldCharType="separate"/>
            </w:r>
            <w:r>
              <w:rPr>
                <w:rStyle w:val="Style17"/>
              </w:rPr>
              <w:t>12.3</w:t>
              <w:tab/>
              <w:t>Отборочные критерии рассмотрения ценовых предложений (дополнительных ценовых предложений)</w:t>
              <w:tab/>
              <w:t>64</w:t>
            </w:r>
            <w:r>
              <w:rPr>
                <w:webHidden/>
              </w:rPr>
              <w:fldChar w:fldCharType="end"/>
            </w:r>
          </w:hyperlink>
        </w:p>
        <w:p>
          <w:pPr>
            <w:pStyle w:val="TOC2"/>
            <w:tabs>
              <w:tab w:val="clear" w:pos="851"/>
              <w:tab w:val="left" w:pos="850" w:leader="none"/>
              <w:tab w:val="right" w:pos="9923" w:leader="none"/>
              <w:tab w:val="right" w:pos="10205" w:leader="dot"/>
            </w:tabs>
            <w:rPr>
              <w:i w:val="false"/>
              <w:i w:val="false"/>
              <w:iCs w:val="false"/>
              <w:shd w:fill="auto" w:val="clear"/>
            </w:rPr>
          </w:pPr>
          <w:hyperlink w:anchor="_Toc59" w:tgtFrame="#_Toc59">
            <w:r>
              <w:rPr>
                <w:webHidden/>
              </w:rPr>
              <w:fldChar w:fldCharType="begin"/>
            </w:r>
            <w:r>
              <w:rPr>
                <w:webHidden/>
              </w:rPr>
              <w:instrText xml:space="preserve">PAGEREF _Toc59 \h</w:instrText>
            </w:r>
            <w:r>
              <w:rPr>
                <w:webHidden/>
              </w:rPr>
              <w:fldChar w:fldCharType="separate"/>
            </w:r>
            <w:r>
              <w:rPr>
                <w:rStyle w:val="Style17"/>
              </w:rPr>
              <w:t>12.4</w:t>
              <w:tab/>
              <w:t>Дополнительные критерии проверки заявок на соответствие условиям Документации о закупке</w:t>
              <w:tab/>
              <w:t>66</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0" w:tgtFrame="#_Toc60">
            <w:r>
              <w:rPr>
                <w:webHidden/>
              </w:rPr>
              <w:fldChar w:fldCharType="begin"/>
            </w:r>
            <w:r>
              <w:rPr>
                <w:webHidden/>
              </w:rPr>
              <w:instrText xml:space="preserve">PAGEREF _Toc60 \h</w:instrText>
            </w:r>
            <w:r>
              <w:rPr>
                <w:webHidden/>
              </w:rPr>
              <w:fldChar w:fldCharType="separate"/>
            </w:r>
            <w:r>
              <w:rPr>
                <w:rStyle w:val="Style17"/>
              </w:rPr>
              <w:t>13.</w:t>
              <w:tab/>
              <w:t>Приложение № 8 – Порядок и критерии оценки и сопоставления заявок</w:t>
              <w:tab/>
              <w:t>68</w:t>
            </w:r>
            <w:r>
              <w:rPr>
                <w:webHidden/>
              </w:rPr>
              <w:fldChar w:fldCharType="end"/>
            </w:r>
          </w:hyperlink>
        </w:p>
        <w:p>
          <w:pPr>
            <w:pStyle w:val="TOC2"/>
            <w:tabs>
              <w:tab w:val="clear" w:pos="851"/>
              <w:tab w:val="left" w:pos="850" w:leader="none"/>
              <w:tab w:val="right" w:pos="9923" w:leader="none"/>
              <w:tab w:val="right" w:pos="10205" w:leader="dot"/>
            </w:tabs>
            <w:rPr/>
          </w:pPr>
          <w:hyperlink w:anchor="_Toc61" w:tgtFrame="#_Toc61">
            <w:r>
              <w:rPr>
                <w:webHidden/>
              </w:rPr>
              <w:fldChar w:fldCharType="begin"/>
            </w:r>
            <w:r>
              <w:rPr>
                <w:webHidden/>
              </w:rPr>
              <w:instrText xml:space="preserve">PAGEREF _Toc61 \h</w:instrText>
            </w:r>
            <w:r>
              <w:rPr>
                <w:webHidden/>
              </w:rPr>
              <w:fldChar w:fldCharType="separate"/>
            </w:r>
            <w:r>
              <w:rPr>
                <w:rStyle w:val="Style17"/>
              </w:rPr>
              <w:t>13.1</w:t>
              <w:tab/>
              <w:t>Порядок и критерии оценки и сопоставления заявок</w:t>
              <w:tab/>
              <w:t>68</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2" w:tgtFrame="#_Toc62">
            <w:r>
              <w:rPr>
                <w:webHidden/>
              </w:rPr>
              <w:fldChar w:fldCharType="begin"/>
            </w:r>
            <w:r>
              <w:rPr>
                <w:webHidden/>
              </w:rPr>
              <w:instrText xml:space="preserve">PAGEREF _Toc62 \h</w:instrText>
            </w:r>
            <w:r>
              <w:rPr>
                <w:webHidden/>
              </w:rPr>
              <w:fldChar w:fldCharType="separate"/>
            </w:r>
            <w:r>
              <w:rPr>
                <w:rStyle w:val="Style17"/>
              </w:rPr>
              <w:t>14.</w:t>
              <w:tab/>
              <w:t>Приложение № 9 – Обоснование НМЦ</w:t>
              <w:tab/>
              <w:t>73</w:t>
            </w:r>
            <w:r>
              <w:rPr>
                <w:webHidden/>
              </w:rPr>
              <w:fldChar w:fldCharType="end"/>
            </w:r>
          </w:hyperlink>
        </w:p>
        <w:p>
          <w:pPr>
            <w:pStyle w:val="TOC2"/>
            <w:tabs>
              <w:tab w:val="clear" w:pos="851"/>
              <w:tab w:val="left" w:pos="850" w:leader="none"/>
              <w:tab w:val="right" w:pos="9923" w:leader="none"/>
              <w:tab w:val="right" w:pos="10205" w:leader="dot"/>
            </w:tabs>
            <w:rPr/>
          </w:pPr>
          <w:hyperlink w:anchor="_Toc63" w:tgtFrame="#_Toc63">
            <w:r>
              <w:rPr>
                <w:webHidden/>
              </w:rPr>
              <w:fldChar w:fldCharType="begin"/>
            </w:r>
            <w:r>
              <w:rPr>
                <w:webHidden/>
              </w:rPr>
              <w:instrText xml:space="preserve">PAGEREF _Toc63 \h</w:instrText>
            </w:r>
            <w:r>
              <w:rPr>
                <w:webHidden/>
              </w:rPr>
              <w:fldChar w:fldCharType="separate"/>
            </w:r>
            <w:r>
              <w:rPr>
                <w:rStyle w:val="Style17"/>
              </w:rPr>
              <w:t>14.1</w:t>
              <w:tab/>
              <w:t>Пояснения к Обоснованию НМЦ</w:t>
              <w:tab/>
              <w:t>73</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4" w:tgtFrame="#_Toc64">
            <w:r>
              <w:rPr>
                <w:webHidden/>
              </w:rPr>
              <w:fldChar w:fldCharType="begin"/>
            </w:r>
            <w:r>
              <w:rPr>
                <w:webHidden/>
              </w:rPr>
              <w:instrText xml:space="preserve">PAGEREF _Toc64 \h</w:instrText>
            </w:r>
            <w:r>
              <w:rPr>
                <w:webHidden/>
              </w:rPr>
              <w:fldChar w:fldCharType="separate"/>
            </w:r>
            <w:r>
              <w:rPr>
                <w:rStyle w:val="Style17"/>
              </w:rPr>
              <w:t>15.</w:t>
              <w:tab/>
              <w:t>Приложение № 10 – Форма Заявки на аккредитацию</w:t>
              <w:tab/>
              <w:t>74</w:t>
            </w:r>
            <w:r>
              <w:rPr>
                <w:webHidden/>
              </w:rPr>
              <w:fldChar w:fldCharType="end"/>
            </w:r>
          </w:hyperlink>
        </w:p>
        <w:p>
          <w:pPr>
            <w:pStyle w:val="TOC2"/>
            <w:tabs>
              <w:tab w:val="clear" w:pos="851"/>
              <w:tab w:val="left" w:pos="850" w:leader="none"/>
              <w:tab w:val="right" w:pos="9923" w:leader="none"/>
              <w:tab w:val="right" w:pos="10205" w:leader="dot"/>
            </w:tabs>
            <w:rPr/>
          </w:pPr>
          <w:hyperlink w:anchor="_Toc65" w:tgtFrame="#_Toc65">
            <w:r>
              <w:rPr>
                <w:webHidden/>
              </w:rPr>
              <w:fldChar w:fldCharType="begin"/>
            </w:r>
            <w:r>
              <w:rPr>
                <w:webHidden/>
              </w:rPr>
              <w:instrText xml:space="preserve">PAGEREF _Toc65 \h</w:instrText>
            </w:r>
            <w:r>
              <w:rPr>
                <w:webHidden/>
              </w:rPr>
              <w:fldChar w:fldCharType="separate"/>
            </w:r>
            <w:r>
              <w:rPr>
                <w:rStyle w:val="Style17"/>
              </w:rPr>
              <w:t>15.1</w:t>
              <w:tab/>
              <w:t>Пояснения к форме Заявки на аккредитацию</w:t>
              <w:tab/>
              <w:t>74</w:t>
            </w:r>
            <w:r>
              <w:rPr>
                <w:webHidden/>
              </w:rPr>
              <w:fldChar w:fldCharType="end"/>
            </w:r>
          </w:hyperlink>
        </w:p>
        <w:p>
          <w:pPr>
            <w:pStyle w:val="TOC1"/>
            <w:tabs>
              <w:tab w:val="left" w:pos="567" w:leader="none"/>
              <w:tab w:val="left" w:pos="851" w:leader="none"/>
              <w:tab w:val="right" w:pos="9923" w:leader="none"/>
              <w:tab w:val="right" w:pos="10205" w:leader="dot"/>
            </w:tabs>
            <w:rPr/>
          </w:pPr>
          <w:hyperlink w:anchor="_Toc66" w:tgtFrame="#_Toc66">
            <w:r>
              <w:rPr>
                <w:webHidden/>
              </w:rPr>
              <w:fldChar w:fldCharType="begin"/>
            </w:r>
            <w:r>
              <w:rPr>
                <w:webHidden/>
              </w:rPr>
              <w:instrText xml:space="preserve">PAGEREF _Toc66 \h</w:instrText>
            </w:r>
            <w:r>
              <w:rPr>
                <w:webHidden/>
              </w:rPr>
              <w:fldChar w:fldCharType="separate"/>
            </w:r>
            <w:r>
              <w:rPr>
                <w:rStyle w:val="Style17"/>
              </w:rPr>
              <w:t>16.</w:t>
              <w:tab/>
              <w:t>Приложение № 11 – форма Данных бухгалтерской (финансовой) отчетности</w:t>
              <w:tab/>
              <w:t>75</w:t>
            </w:r>
            <w:r>
              <w:rPr>
                <w:webHidden/>
              </w:rPr>
              <w:fldChar w:fldCharType="end"/>
            </w:r>
          </w:hyperlink>
        </w:p>
        <w:p>
          <w:pPr>
            <w:pStyle w:val="TOC2"/>
            <w:tabs>
              <w:tab w:val="clear" w:pos="851"/>
              <w:tab w:val="left" w:pos="850" w:leader="none"/>
              <w:tab w:val="right" w:pos="9923" w:leader="none"/>
              <w:tab w:val="right" w:pos="10205" w:leader="dot"/>
            </w:tabs>
            <w:rPr/>
          </w:pPr>
          <w:hyperlink w:anchor="_Toc67" w:tgtFrame="#_Toc67">
            <w:r>
              <w:rPr>
                <w:webHidden/>
              </w:rPr>
              <w:fldChar w:fldCharType="begin"/>
            </w:r>
            <w:r>
              <w:rPr>
                <w:webHidden/>
              </w:rPr>
              <w:instrText xml:space="preserve">PAGEREF _Toc67 \h</w:instrText>
            </w:r>
            <w:r>
              <w:rPr>
                <w:webHidden/>
              </w:rPr>
              <w:fldChar w:fldCharType="separate"/>
            </w:r>
            <w:r>
              <w:rPr>
                <w:rStyle w:val="Style17"/>
              </w:rPr>
              <w:t>16.1</w:t>
              <w:tab/>
              <w:t xml:space="preserve">Пояснения к форме Данных бухгалтерской (финансовой) отчетности </w:t>
              <w:tab/>
              <w:t>75</w:t>
            </w:r>
            <w:r>
              <w:rPr>
                <w:webHidden/>
              </w:rPr>
              <w:fldChar w:fldCharType="end"/>
            </w:r>
          </w:hyperlink>
          <w:r>
            <w:rPr>
              <w:rStyle w:val="Style17"/>
            </w:rPr>
            <w:fldChar w:fldCharType="end"/>
          </w:r>
        </w:p>
      </w:sdtContent>
    </w:sdt>
    <w:p>
      <w:pPr>
        <w:pStyle w:val="Normal"/>
        <w:widowControl/>
        <w:bidi w:val="0"/>
        <w:spacing w:before="120" w:after="0"/>
        <w:jc w:val="left"/>
        <w:rPr/>
      </w:pPr>
      <w:r>
        <w:rPr/>
      </w:r>
    </w:p>
    <w:p>
      <w:pPr>
        <w:pStyle w:val="Style26"/>
        <w:keepNext w:val="true"/>
        <w:spacing w:before="60" w:after="0"/>
        <w:rPr>
          <w:rStyle w:val="Style14"/>
        </w:rPr>
      </w:pPr>
      <w:r>
        <w:rPr>
          <w:rStyle w:val="Style14"/>
        </w:rPr>
        <w:t xml:space="preserve">[Примечание (дополнительные удобства работы с Документацией о закупке; Microsoft Word | </w:t>
      </w:r>
      <w:r>
        <w:rPr>
          <w:rStyle w:val="Style14"/>
          <w:color w:val="4472C4" w:themeColor="accent1"/>
        </w:rPr>
        <w:t>AlterOffice AText – отмечены отличая для данного текстового редактора</w:t>
      </w:r>
      <w:r>
        <w:rPr>
          <w:rStyle w:val="Style14"/>
        </w:rPr>
        <w:t>):</w:t>
      </w:r>
    </w:p>
    <w:p>
      <w:pPr>
        <w:pStyle w:val="Style26"/>
        <w:numPr>
          <w:ilvl w:val="0"/>
          <w:numId w:val="8"/>
        </w:numPr>
        <w:spacing w:before="60" w:after="0"/>
        <w:ind w:left="284" w:hanging="284"/>
        <w:rPr>
          <w:rStyle w:val="Style14"/>
        </w:rPr>
      </w:pPr>
      <w:r>
        <w:rPr>
          <w:rStyle w:val="Style14"/>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4"/>
          <w:color w:val="4472C4" w:themeColor="accent1"/>
        </w:rPr>
        <w:t>включается на вкладке «Вид» опцией «Навигатор»</w:t>
      </w:r>
      <w:r>
        <w:rPr>
          <w:rStyle w:val="Style14"/>
        </w:rPr>
        <w:t>;</w:t>
      </w:r>
    </w:p>
    <w:p>
      <w:pPr>
        <w:pStyle w:val="Style26"/>
        <w:numPr>
          <w:ilvl w:val="0"/>
          <w:numId w:val="8"/>
        </w:numPr>
        <w:spacing w:before="0" w:after="0"/>
        <w:ind w:left="284" w:hanging="284"/>
        <w:rPr>
          <w:rStyle w:val="Style14"/>
        </w:rPr>
      </w:pPr>
      <w:r>
        <w:rPr>
          <w:rStyle w:val="Style14"/>
        </w:rPr>
        <w:t>переход по перекрестным и другим ссылкам осуществляется левым кликом мыши с</w:t>
      </w:r>
      <w:r>
        <w:rPr>
          <w:rStyle w:val="Style14"/>
          <w:lang w:val="en-US"/>
        </w:rPr>
        <w:t> </w:t>
      </w:r>
      <w:r>
        <w:rPr>
          <w:rStyle w:val="Style14"/>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4"/>
          <w:color w:val="4472C4" w:themeColor="accent1"/>
        </w:rPr>
        <w:t>(обратный переход функционально не реализован в AlterOffice AText, пользуйтесь функциональностью «Навигатор»)</w:t>
      </w:r>
      <w:r>
        <w:rPr>
          <w:rStyle w:val="Style14"/>
        </w:rPr>
        <w:t>;</w:t>
      </w:r>
    </w:p>
    <w:p>
      <w:pPr>
        <w:pStyle w:val="Style26"/>
        <w:numPr>
          <w:ilvl w:val="0"/>
          <w:numId w:val="8"/>
        </w:numPr>
        <w:spacing w:before="0" w:after="0"/>
        <w:ind w:left="284" w:hanging="284"/>
        <w:rPr>
          <w:rStyle w:val="Style14"/>
        </w:rPr>
      </w:pPr>
      <w:r>
        <w:rPr>
          <w:rStyle w:val="Style14"/>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4"/>
          <w:lang w:val="en-US"/>
        </w:rPr>
        <w:t> </w:t>
      </w:r>
      <w:r>
        <w:rPr>
          <w:rStyle w:val="Style14"/>
        </w:rPr>
        <w:t>тексте;</w:t>
      </w:r>
    </w:p>
    <w:p>
      <w:pPr>
        <w:pStyle w:val="Style26"/>
        <w:numPr>
          <w:ilvl w:val="0"/>
          <w:numId w:val="8"/>
        </w:numPr>
        <w:spacing w:before="0" w:after="0"/>
        <w:ind w:left="284" w:hanging="284"/>
        <w:rPr>
          <w:rStyle w:val="Style14"/>
        </w:rPr>
      </w:pPr>
      <w:r>
        <w:rPr>
          <w:rStyle w:val="Style14"/>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4"/>
        </w:rPr>
        <w:t>.]</w:t>
      </w:r>
    </w:p>
    <w:p>
      <w:pPr>
        <w:pStyle w:val="Style25"/>
        <w:numPr>
          <w:ilvl w:val="0"/>
          <w:numId w:val="0"/>
        </w:numPr>
        <w:ind w:left="0" w:hanging="0"/>
        <w:outlineLvl w:val="0"/>
        <w:rPr/>
      </w:pPr>
      <w:bookmarkStart w:id="0" w:name="__RefHeading___Toc12908_2134259642"/>
      <w:bookmarkStart w:id="1" w:name="_Toc1"/>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ЕАЭС</w:t>
      </w:r>
      <w:r>
        <w:rPr/>
        <w:t xml:space="preserve"> – Евразийский экономический союз.</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6"/>
        <w:ind w:firstLine="567"/>
        <w:rPr/>
      </w:pPr>
      <w:r>
        <w:rPr>
          <w:b/>
          <w:bCs/>
        </w:rPr>
        <w:t>Закон 98-ФЗ</w:t>
      </w:r>
      <w:r>
        <w:rPr/>
        <w:t xml:space="preserve"> – Федеральный закон от 29 июля 2004 года № 98-ФЗ «О коммерческой тайне».</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26"/>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26"/>
        <w:ind w:firstLine="567"/>
        <w:rPr/>
      </w:pPr>
      <w:r>
        <w:rPr/>
      </w:r>
    </w:p>
    <w:p>
      <w:pPr>
        <w:pStyle w:val="Style26"/>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ind w:left="0" w:hanging="0"/>
        <w:outlineLvl w:val="0"/>
        <w:rPr/>
      </w:pPr>
      <w:bookmarkStart w:id="2" w:name="__RefHeading___Toc12910_2134259642"/>
      <w:bookmarkStart w:id="3" w:name="_Toc2"/>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6"/>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9"/>
        <w:rPr/>
      </w:pPr>
      <w:r>
        <w:rPr/>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в том числе индивидуальный предприниматель, ,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spacing w:before="0" w:after="0"/>
        <w:rPr/>
      </w:pPr>
      <w:bookmarkStart w:id="5" w:name="__RefHeading___Toc12912_2134259642"/>
      <w:bookmarkStart w:id="6" w:name="_Ref125359988"/>
      <w:bookmarkStart w:id="7" w:name="_Toc3"/>
      <w:bookmarkEnd w:id="5"/>
      <w:r>
        <w:rPr/>
        <w:t>Основные сведения о закупке</w:t>
      </w:r>
      <w:bookmarkEnd w:id="6"/>
      <w:bookmarkEnd w:id="7"/>
    </w:p>
    <w:p>
      <w:pPr>
        <w:pStyle w:val="Style21"/>
        <w:rPr/>
      </w:pPr>
      <w:bookmarkStart w:id="8" w:name="__RefHeading___Toc12914_2134259642"/>
      <w:bookmarkStart w:id="9" w:name="_Toc4"/>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spacing w:before="0" w:after="0"/>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tgtFrame="#Прил01_ТехТребования">
        <w:r>
          <w:rPr>
            <w:u w:val="single"/>
          </w:rPr>
          <w:t>Технических требованиях (Приложение № 1)</w:t>
        </w:r>
      </w:hyperlink>
      <w:r>
        <w:rPr>
          <w:rStyle w:val="Style11"/>
        </w:rPr>
        <w:t>,</w:t>
      </w:r>
      <w:r>
        <w:rPr/>
        <w:t xml:space="preserve"> в </w:t>
      </w:r>
      <w:hyperlink w:anchor="Прил02_ПроектДоговора" w:tgtFrame="#Прил02_ПроектДоговора">
        <w:r>
          <w:rPr>
            <w:u w:val="single"/>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spacing w:before="0" w:after="0"/>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12916_2134259642"/>
      <w:bookmarkStart w:id="11" w:name="_Toc5"/>
      <w:bookmarkStart w:id="12" w:name="_Ref125359973"/>
      <w:bookmarkStart w:id="13" w:name="_Ref127270076"/>
      <w:bookmarkStart w:id="14" w:name="_Ref132876309"/>
      <w:bookmarkEnd w:id="10"/>
      <w:r>
        <w:rPr/>
        <w:t>Информация о проводимой закупке</w:t>
      </w:r>
      <w:bookmarkEnd w:id="11"/>
      <w:bookmarkEnd w:id="12"/>
      <w:bookmarkEnd w:id="13"/>
      <w:bookmarkEnd w:id="14"/>
    </w:p>
    <w:tbl>
      <w:tblPr>
        <w:tblStyle w:val="1442"/>
        <w:tblW w:w="1026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63"/>
        <w:gridCol w:w="3121"/>
        <w:gridCol w:w="6378"/>
      </w:tblGrid>
      <w:tr>
        <w:trPr/>
        <w:tc>
          <w:tcPr>
            <w:tcW w:w="76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3121"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 пункта</w:t>
            </w:r>
          </w:p>
        </w:tc>
        <w:tc>
          <w:tcPr>
            <w:tcW w:w="637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Содержание пункта</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5" w:name="_Ref125360980"/>
            <w:bookmarkStart w:id="16" w:name="_Ref125360980"/>
            <w:bookmarkEnd w:id="1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Способ закупки:</w:t>
            </w:r>
          </w:p>
        </w:tc>
        <w:tc>
          <w:tcPr>
            <w:tcW w:w="6378"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Конкурс в электронной форме, участниками которого могут быть только субъекты МСП.</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7" w:name="_Ref125360996"/>
            <w:bookmarkStart w:id="18" w:name="_Ref125360996"/>
            <w:bookmarkEnd w:id="18"/>
          </w:p>
        </w:tc>
        <w:tc>
          <w:tcPr>
            <w:tcW w:w="3121" w:type="dxa"/>
            <w:tcBorders/>
          </w:tcPr>
          <w:p>
            <w:pPr>
              <w:pStyle w:val="Style26"/>
              <w:widowControl w:val="false"/>
              <w:suppressAutoHyphens w:val="true"/>
              <w:spacing w:before="12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Предмет Договора</w:t>
              <w:br/>
              <w:t>(в том числе номер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Лот № 11026001-РЕМ ПРОД-2027-ДГК-ХТС:</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ОКПД2 42.11.20 Выполнение работ по восстановлению нарушенного благоустройства после устранения аварийных порывов на теплотрассах, ремонт тепловых камер, для СП «ХТС» г. Хабаровск (ПП: 10.3-Рем-2022-ХТС)</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Описание</w:t>
              <w:br/>
              <w:t>предмета закупки:</w:t>
            </w:r>
          </w:p>
        </w:tc>
        <w:tc>
          <w:tcPr>
            <w:tcW w:w="6378" w:type="dxa"/>
            <w:tcBorders/>
          </w:tcPr>
          <w:p>
            <w:pPr>
              <w:pStyle w:val="Style26"/>
              <w:widowControl w:val="false"/>
              <w:suppressAutoHyphens w:val="true"/>
              <w:spacing w:before="120" w:after="60"/>
              <w:rPr/>
            </w:pPr>
            <w:r>
              <w:rPr>
                <w:rFonts w:eastAsia="Calibri" w:cs="Arial"/>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tgtFrame="#Прил01_ТехТребования">
              <w:r>
                <w:rPr>
                  <w:rStyle w:val="Style11"/>
                  <w:rFonts w:eastAsia="Calibri" w:cs="Arial"/>
                  <w:kern w:val="0"/>
                  <w:sz w:val="26"/>
                  <w:szCs w:val="22"/>
                  <w:lang w:val="ru-RU" w:eastAsia="en-US" w:bidi="ar-SA"/>
                </w:rPr>
                <w:t>Технических требованиях (Приложении № 1)</w:t>
              </w:r>
            </w:hyperlink>
            <w:r>
              <w:rPr>
                <w:rFonts w:eastAsia="Calibri" w:cs="Arial"/>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tgtFrame="#Прил04_ФормыЗаявки">
              <w:r>
                <w:rPr>
                  <w:rStyle w:val="Style11"/>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19" w:name="_Ref125367124"/>
            <w:bookmarkStart w:id="20" w:name="_Ref125367124"/>
            <w:bookmarkEnd w:id="2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Многолотовая закупка: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Нет.</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1" w:name="_Ref125360764"/>
            <w:bookmarkStart w:id="22" w:name="_Ref125360764"/>
            <w:bookmarkEnd w:id="2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Наименование и адрес ЭП, на которой проводится закупка: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Электронная площадка:</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https://rushydro.roseltorg.ru/</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Регламент ЕЭТП Росэлторг, в соответствии с которым проводится закупка, размещен по адресу: https://www.roseltorg.ru/knowledge_db/docs/documents</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3" w:name="_Ref125360970"/>
            <w:bookmarkStart w:id="24" w:name="_Ref125360970"/>
            <w:bookmarkEnd w:id="2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Участники: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26"/>
              <w:widowControl w:val="false"/>
              <w:suppressAutoHyphens w:val="true"/>
              <w:spacing w:before="120" w:after="60"/>
              <w:rPr/>
            </w:pPr>
            <w:r>
              <w:rPr>
                <w:rFonts w:eastAsia="Calibri" w:cs="Arial"/>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tgtFrame="#Прил02_ПроектДоговора">
              <w:r>
                <w:rPr>
                  <w:rStyle w:val="Style11"/>
                  <w:rFonts w:eastAsia="Calibri" w:cs="Arial"/>
                  <w:kern w:val="0"/>
                  <w:sz w:val="26"/>
                  <w:szCs w:val="22"/>
                  <w:lang w:val="ru-RU" w:eastAsia="en-US" w:bidi="ar-SA"/>
                </w:rPr>
                <w:t>Проекта Договора (Приложение № 2)</w:t>
              </w:r>
            </w:hyperlink>
            <w:r>
              <w:rPr>
                <w:rFonts w:eastAsia="Calibri" w:cs="Arial"/>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5" w:name="_Ref125360988"/>
            <w:bookmarkStart w:id="26" w:name="_Ref125360988"/>
            <w:bookmarkEnd w:id="2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Заказчик:</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rFonts w:cs="Times New Roman"/>
                <w:sz w:val="40"/>
                <w:szCs w:val="40"/>
              </w:rPr>
            </w:pPr>
            <w:r>
              <w:rPr>
                <w:rFonts w:eastAsia="Times New Roman" w:cs="Times New Roman"/>
                <w:kern w:val="0"/>
                <w:sz w:val="26"/>
                <w:szCs w:val="26"/>
                <w:lang w:val="ru-RU" w:eastAsia="en-US" w:bidi="ar-SA"/>
              </w:rPr>
              <w:t>Контактный телефон: +7 (4212) 26-42-54</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7" w:name="_Ref125360954"/>
            <w:bookmarkStart w:id="28" w:name="_Ref125360954"/>
            <w:bookmarkEnd w:id="2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Организатор:</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Наименование (полное и сокращенное): Акционерного общества «Дальневосточная генерирующая компания» (АО «ДГК»)</w:t>
            </w:r>
          </w:p>
          <w:p>
            <w:pPr>
              <w:pStyle w:val="Tableheader"/>
              <w:widowControl w:val="false"/>
              <w:suppressAutoHyphens w:val="true"/>
              <w:spacing w:before="6" w:after="6"/>
              <w:rPr>
                <w:b w:val="false"/>
                <w:sz w:val="40"/>
                <w:szCs w:val="40"/>
              </w:rPr>
            </w:pPr>
            <w:r>
              <w:rPr>
                <w:b w:val="false"/>
                <w:kern w:val="0"/>
                <w:sz w:val="26"/>
                <w:szCs w:val="26"/>
                <w:lang w:val="ru-RU" w:bidi="ar-SA"/>
              </w:rPr>
              <w:t>Место нахождения: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Почтовый адрес: 680000, г. Хабаровск, ул. Фрунзе, д. 49</w:t>
            </w:r>
          </w:p>
          <w:p>
            <w:pPr>
              <w:pStyle w:val="Tableheader"/>
              <w:widowControl w:val="false"/>
              <w:suppressAutoHyphens w:val="true"/>
              <w:spacing w:before="6" w:after="6"/>
              <w:rPr>
                <w:b w:val="false"/>
                <w:sz w:val="40"/>
                <w:szCs w:val="40"/>
              </w:rPr>
            </w:pPr>
            <w:r>
              <w:rPr>
                <w:b w:val="false"/>
                <w:kern w:val="0"/>
                <w:sz w:val="26"/>
                <w:szCs w:val="26"/>
                <w:lang w:val="ru-RU" w:bidi="ar-SA"/>
              </w:rPr>
              <w:t xml:space="preserve">Адрес электронной почты: </w:t>
            </w:r>
            <w:r>
              <w:rPr>
                <w:b w:val="false"/>
                <w:kern w:val="0"/>
                <w:sz w:val="26"/>
                <w:szCs w:val="26"/>
                <w:lang w:val="ru-RU" w:eastAsia="en-US" w:bidi="ar-SA"/>
              </w:rPr>
              <w:t>dgk@dgk.ru</w:t>
            </w:r>
          </w:p>
          <w:p>
            <w:pPr>
              <w:pStyle w:val="Normal"/>
              <w:widowControl w:val="false"/>
              <w:tabs>
                <w:tab w:val="clear" w:pos="708"/>
                <w:tab w:val="left" w:pos="426" w:leader="none"/>
              </w:tabs>
              <w:suppressAutoHyphens w:val="true"/>
              <w:spacing w:before="6" w:after="6"/>
              <w:jc w:val="left"/>
              <w:rPr>
                <w:rFonts w:cs="Times New Roman"/>
                <w:sz w:val="40"/>
                <w:szCs w:val="40"/>
              </w:rPr>
            </w:pPr>
            <w:r>
              <w:rPr>
                <w:rFonts w:eastAsia="Times New Roman" w:cs="Times New Roman"/>
                <w:kern w:val="0"/>
                <w:sz w:val="26"/>
                <w:szCs w:val="26"/>
                <w:lang w:val="ru-RU" w:eastAsia="en-US" w:bidi="ar-SA"/>
              </w:rPr>
              <w:t>Контактный телефон: +7 (4212) 26-42-54</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29" w:name="_Ref125361238"/>
            <w:bookmarkStart w:id="30" w:name="_Ref125361238"/>
            <w:bookmarkEnd w:id="3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Представитель Организатора:</w:t>
            </w:r>
          </w:p>
        </w:tc>
        <w:tc>
          <w:tcPr>
            <w:tcW w:w="6378" w:type="dxa"/>
            <w:tcBorders/>
          </w:tcPr>
          <w:p>
            <w:pPr>
              <w:pStyle w:val="Tableheader"/>
              <w:widowControl w:val="false"/>
              <w:suppressAutoHyphens w:val="true"/>
              <w:spacing w:before="6" w:after="6"/>
              <w:rPr>
                <w:b w:val="false"/>
                <w:sz w:val="40"/>
                <w:szCs w:val="40"/>
              </w:rPr>
            </w:pPr>
            <w:r>
              <w:rPr>
                <w:b w:val="false"/>
                <w:kern w:val="0"/>
                <w:sz w:val="26"/>
                <w:szCs w:val="26"/>
                <w:lang w:val="ru-RU" w:bidi="ar-SA"/>
              </w:rPr>
              <w:t>Контактное лицо (Ф.И.О.):</w:t>
            </w:r>
            <w:r>
              <w:rPr>
                <w:b w:val="false"/>
                <w:kern w:val="0"/>
                <w:sz w:val="26"/>
                <w:szCs w:val="26"/>
                <w:lang w:val="ru-RU" w:bidi="ar-SA"/>
              </w:rPr>
              <w:t>Евстратенко Анна Валериевна</w:t>
            </w:r>
          </w:p>
          <w:p>
            <w:pPr>
              <w:pStyle w:val="Tableheader"/>
              <w:widowControl w:val="false"/>
              <w:suppressAutoHyphens w:val="true"/>
              <w:spacing w:before="6" w:after="6"/>
              <w:rPr>
                <w:b w:val="false"/>
                <w:sz w:val="40"/>
                <w:szCs w:val="40"/>
              </w:rPr>
            </w:pPr>
            <w:r>
              <w:rPr>
                <w:b w:val="false"/>
                <w:kern w:val="0"/>
                <w:sz w:val="26"/>
                <w:szCs w:val="26"/>
                <w:lang w:val="ru-RU" w:bidi="ar-SA"/>
              </w:rPr>
              <w:t>Контактный телефон: +7 (4212) 26-</w:t>
            </w:r>
            <w:r>
              <w:rPr>
                <w:b w:val="false"/>
                <w:kern w:val="0"/>
                <w:sz w:val="26"/>
                <w:szCs w:val="26"/>
                <w:lang w:val="ru-RU" w:bidi="ar-SA"/>
              </w:rPr>
              <w:t>47</w:t>
            </w:r>
            <w:r>
              <w:rPr>
                <w:b w:val="false"/>
                <w:kern w:val="0"/>
                <w:sz w:val="26"/>
                <w:szCs w:val="26"/>
                <w:lang w:val="ru-RU" w:bidi="ar-SA"/>
              </w:rPr>
              <w:t>-</w:t>
            </w:r>
            <w:r>
              <w:rPr>
                <w:b w:val="false"/>
                <w:kern w:val="0"/>
                <w:sz w:val="26"/>
                <w:szCs w:val="26"/>
                <w:lang w:val="ru-RU" w:bidi="ar-SA"/>
              </w:rPr>
              <w:t>34</w:t>
            </w:r>
          </w:p>
          <w:p>
            <w:pPr>
              <w:pStyle w:val="Style26"/>
              <w:widowControl w:val="false"/>
              <w:suppressAutoHyphens w:val="true"/>
              <w:spacing w:before="120" w:after="60"/>
              <w:rPr>
                <w:rFonts w:ascii="Times New Roman" w:hAnsi="Times New Roman"/>
                <w:kern w:val="0"/>
                <w:sz w:val="26"/>
                <w:lang w:val="ru-RU" w:eastAsia="en-US" w:bidi="ar-SA"/>
              </w:rPr>
            </w:pPr>
            <w:r>
              <w:rPr>
                <w:rFonts w:eastAsia="Times New Roman" w:cs="Times New Roman"/>
                <w:kern w:val="0"/>
                <w:sz w:val="26"/>
                <w:szCs w:val="26"/>
                <w:lang w:val="ru-RU" w:eastAsia="en-US" w:bidi="ar-SA"/>
              </w:rPr>
              <w:t xml:space="preserve">Адрес электронной почты: </w:t>
            </w:r>
            <w:r>
              <w:rPr>
                <w:rFonts w:eastAsia="Times New Roman" w:cs="Times New Roman"/>
                <w:kern w:val="0"/>
                <w:sz w:val="26"/>
                <w:szCs w:val="26"/>
                <w:lang w:val="ru-RU" w:eastAsia="en-US" w:bidi="ar-SA"/>
              </w:rPr>
              <w:t>evstratenko-av@dgk.ru</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1" w:name="_Ref125362694"/>
            <w:bookmarkStart w:id="32" w:name="_Ref125362694"/>
            <w:bookmarkEnd w:id="3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3" w:name="_Ref125360963"/>
            <w:bookmarkStart w:id="34" w:name="_Ref125360963"/>
            <w:bookmarkEnd w:id="3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размещения Извещения о проведении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«18» августа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5" w:name="_Ref125362837"/>
            <w:bookmarkStart w:id="36" w:name="_Ref125362837"/>
            <w:bookmarkEnd w:id="3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Начальная (максимальная) цена договора (цена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 xml:space="preserve">НМЦ составляет </w:t>
            </w:r>
            <w:r>
              <w:rPr>
                <w:rFonts w:eastAsia="Calibri" w:cs="Arial"/>
                <w:b/>
                <w:bCs/>
                <w:kern w:val="0"/>
                <w:sz w:val="26"/>
                <w:szCs w:val="22"/>
                <w:lang w:val="ru-RU" w:eastAsia="en-US" w:bidi="ar-SA"/>
              </w:rPr>
              <w:t>23 794 991,00</w:t>
            </w:r>
            <w:r>
              <w:rPr>
                <w:rFonts w:eastAsia="Calibri" w:cs="Arial"/>
                <w:kern w:val="0"/>
                <w:sz w:val="26"/>
                <w:szCs w:val="22"/>
                <w:lang w:val="ru-RU" w:eastAsia="en-US" w:bidi="ar-SA"/>
              </w:rPr>
              <w:t xml:space="preserve"> руб., без учета НДС.</w:t>
            </w:r>
          </w:p>
          <w:p>
            <w:pPr>
              <w:pStyle w:val="Style26"/>
              <w:widowControl w:val="false"/>
              <w:suppressAutoHyphens w:val="true"/>
              <w:spacing w:before="120" w:after="60"/>
              <w:rPr/>
            </w:pPr>
            <w:r>
              <w:rPr>
                <w:rFonts w:eastAsia="Calibri" w:cs="Arial"/>
                <w:kern w:val="0"/>
                <w:sz w:val="26"/>
                <w:szCs w:val="22"/>
                <w:lang w:val="ru-RU" w:eastAsia="en-US" w:bidi="ar-SA"/>
              </w:rPr>
              <w:t xml:space="preserve">Обоснование НМЦ представлено в </w:t>
            </w:r>
            <w:hyperlink w:anchor="Прил09_ОбоснованиеНМЦ" w:tgtFrame="#Прил09_ОбоснованиеНМЦ">
              <w:r>
                <w:rPr>
                  <w:rStyle w:val="Style11"/>
                  <w:rFonts w:eastAsia="Calibri" w:cs="Arial"/>
                  <w:kern w:val="0"/>
                  <w:sz w:val="26"/>
                  <w:szCs w:val="22"/>
                  <w:lang w:val="ru-RU" w:eastAsia="en-US" w:bidi="ar-SA"/>
                </w:rPr>
                <w:t>Приложении № 9</w:t>
              </w:r>
            </w:hyperlink>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7" w:name="_Ref125363076"/>
            <w:bookmarkStart w:id="38" w:name="_Ref125363076"/>
            <w:bookmarkEnd w:id="3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Обеспечение заявки на участие в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требуется.</w:t>
            </w:r>
          </w:p>
          <w:p>
            <w:pPr>
              <w:pStyle w:val="Style26"/>
              <w:widowControl w:val="false"/>
              <w:suppressAutoHyphens w:val="true"/>
              <w:spacing w:before="120" w:after="60"/>
              <w:rPr/>
            </w:pPr>
            <w:r>
              <w:rPr>
                <w:rStyle w:val="Style8"/>
                <w:rFonts w:eastAsia="Calibri" w:cs="Arial"/>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39" w:name="_Ref125362995"/>
            <w:bookmarkStart w:id="40" w:name="_Ref125362995"/>
            <w:bookmarkEnd w:id="4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Требования</w:t>
              <w:br/>
              <w:t>к описанию продукции:</w:t>
            </w:r>
          </w:p>
        </w:tc>
        <w:tc>
          <w:tcPr>
            <w:tcW w:w="6378" w:type="dxa"/>
            <w:tcBorders/>
          </w:tcPr>
          <w:p>
            <w:pPr>
              <w:pStyle w:val="Style26"/>
              <w:widowControl w:val="false"/>
              <w:suppressAutoHyphens w:val="true"/>
              <w:spacing w:before="120" w:after="60"/>
              <w:rPr/>
            </w:pPr>
            <w:r>
              <w:rPr>
                <w:rFonts w:eastAsia="Calibri" w:cs="Arial"/>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tgtFrame="#Прил04_ФормыЗаявки">
              <w:r>
                <w:rPr>
                  <w:rStyle w:val="Style11"/>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Применение законодательства о национальном режиме: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Национальный режим предоставляется.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1" w:name="_Ref125533737"/>
            <w:bookmarkStart w:id="42" w:name="_Ref125533737"/>
            <w:bookmarkEnd w:id="42"/>
          </w:p>
        </w:tc>
        <w:tc>
          <w:tcPr>
            <w:tcW w:w="3121" w:type="dxa"/>
            <w:tcBorders/>
          </w:tcPr>
          <w:p>
            <w:pPr>
              <w:pStyle w:val="Normal"/>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Arial"/>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3" w:name="_Ref132896648"/>
            <w:bookmarkStart w:id="44" w:name="_Ref132896648"/>
            <w:bookmarkEnd w:id="44"/>
          </w:p>
        </w:tc>
        <w:tc>
          <w:tcPr>
            <w:tcW w:w="3121" w:type="dxa"/>
            <w:tcBorders/>
          </w:tcPr>
          <w:p>
            <w:pPr>
              <w:pStyle w:val="Normal"/>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Arial"/>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5" w:name="_Ref125475086"/>
            <w:bookmarkStart w:id="46" w:name="_Ref125475086"/>
            <w:bookmarkEnd w:id="4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и порядок</w:t>
              <w:br/>
              <w:t>подачи заявок:</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Заявки подаются посредством функционала ЭП, по адресу ЭП, указанному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Заявка должна состоять из двух частей и ценового предложения.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7" w:name="_Ref125360779"/>
            <w:bookmarkStart w:id="48" w:name="_Ref125360779"/>
            <w:bookmarkEnd w:id="4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начала; дата и время окончания срока подачи заявок (окончательных предложений):</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начала подачи заявок:</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«18» августа 2026 г.</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и время окончания срока подачи заявок (окончательных предложений):</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«27» августа 2026 г. в 15 ч. 00 мин.</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 местному времени Организатора).</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Срок предоставления Участникам разъяснений Документации о закупке:</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«27» августа 2026 г. в 15 ч. 00 мин.</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 местному времени Организатора).</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_Ref125360779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1.2.19</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49" w:name="_Ref125476197"/>
            <w:bookmarkStart w:id="50" w:name="_Ref125476197"/>
            <w:bookmarkEnd w:id="5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открытия</w:t>
              <w:br/>
              <w:t>доступа к заявкам:</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1" w:name="_Ref125362733"/>
            <w:bookmarkStart w:id="52" w:name="_Ref125362733"/>
            <w:bookmarkEnd w:id="5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«04»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3" w:name="_Ref132898515"/>
            <w:bookmarkStart w:id="54" w:name="_Ref132898515"/>
            <w:bookmarkEnd w:id="5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окончания рассмотрения вторых частей заявок и ценовых предложений:</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«17»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Дополнительный этап закупки – Переторжка (подача дополнительных ценовых предложений):</w:t>
            </w:r>
          </w:p>
        </w:tc>
        <w:tc>
          <w:tcPr>
            <w:tcW w:w="6378" w:type="dxa"/>
            <w:tcBorders/>
          </w:tcPr>
          <w:p>
            <w:pPr>
              <w:pStyle w:val="Style26"/>
              <w:widowControl w:val="false"/>
              <w:suppressAutoHyphens w:val="true"/>
              <w:spacing w:before="120" w:after="60"/>
              <w:rPr>
                <w:szCs w:val="26"/>
              </w:rPr>
            </w:pPr>
            <w:r>
              <w:rPr>
                <w:rFonts w:eastAsia="Calibri" w:cs="Arial"/>
                <w:kern w:val="0"/>
                <w:sz w:val="26"/>
                <w:szCs w:val="26"/>
                <w:lang w:val="ru-RU" w:eastAsia="en-US" w:bidi="ar-SA"/>
              </w:rPr>
              <w:t>Не предусмотрен.</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5" w:name="_Ref125362757"/>
            <w:bookmarkStart w:id="56" w:name="_Ref125362757"/>
            <w:bookmarkEnd w:id="5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Дата подведения</w:t>
              <w:br/>
              <w:t>итогов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«17» сентября 2026 г.</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7" w:name="_Ref125366047"/>
            <w:bookmarkStart w:id="58" w:name="_Ref125366047"/>
            <w:bookmarkEnd w:id="58"/>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предоставляется.</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59" w:name="_Ref125361769"/>
            <w:bookmarkStart w:id="60" w:name="_Ref125361769"/>
            <w:bookmarkEnd w:id="60"/>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предусмотрено.</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Порядок подведения итогов закупки:</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1" w:name="_Ref125366606"/>
            <w:bookmarkStart w:id="62" w:name="_Ref125366606"/>
            <w:bookmarkEnd w:id="62"/>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Количество победителей закупки (в рамках одного лота):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Один победитель.</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3" w:name="_Ref125366813"/>
            <w:bookmarkStart w:id="64" w:name="_Ref125366813"/>
            <w:bookmarkEnd w:id="64"/>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Место подачи документов в отношении цепочки собственников, включая конечных бенефициаров:</w:t>
            </w:r>
          </w:p>
        </w:tc>
        <w:tc>
          <w:tcPr>
            <w:tcW w:w="6378" w:type="dxa"/>
            <w:tcBorders/>
          </w:tcPr>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Для подачи документов в бумажной форме:</w:t>
            </w:r>
          </w:p>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Контактное лицо (Ф.И.О.):</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Инженер 1 категории ОПиПР СП «ХТС» Таюрская Екатерина Николаевна, тел. +7(4212) 26-64-46</w:t>
            </w:r>
          </w:p>
          <w:p>
            <w:pPr>
              <w:pStyle w:val="Style26"/>
              <w:keepNext w:val="true"/>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Почтовый адрес:</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680000, Хабаровский край, г. Хабаровск,</w:t>
            </w:r>
          </w:p>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ул. Флегонтова 13а</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bookmarkStart w:id="65" w:name="_Ref125368490"/>
            <w:bookmarkStart w:id="66" w:name="_Ref125368490"/>
            <w:bookmarkEnd w:id="66"/>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Некритичные пункты Проекта договора: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Отсутствуют.</w:t>
            </w:r>
          </w:p>
        </w:tc>
      </w:tr>
      <w:tr>
        <w:trPr/>
        <w:tc>
          <w:tcPr>
            <w:tcW w:w="763" w:type="dxa"/>
            <w:tcBorders/>
          </w:tcPr>
          <w:p>
            <w:pPr>
              <w:pStyle w:val="Style22"/>
              <w:widowControl w:val="false"/>
              <w:suppressAutoHyphens w:val="true"/>
              <w:spacing w:before="60" w:after="60"/>
              <w:rPr>
                <w:rFonts w:eastAsia="Calibri" w:cs="Arial"/>
              </w:rPr>
            </w:pPr>
            <w:r>
              <w:rPr>
                <w:rFonts w:eastAsia="Calibri" w:cs="Arial"/>
              </w:rPr>
            </w:r>
          </w:p>
        </w:tc>
        <w:tc>
          <w:tcPr>
            <w:tcW w:w="3121" w:type="dxa"/>
            <w:tcBorders/>
          </w:tcPr>
          <w:p>
            <w:pPr>
              <w:pStyle w:val="Style26"/>
              <w:widowControl w:val="false"/>
              <w:suppressAutoHyphens w:val="true"/>
              <w:spacing w:before="60" w:after="60"/>
              <w:jc w:val="left"/>
              <w:rPr>
                <w:rFonts w:eastAsia="Calibri" w:cs="Arial"/>
              </w:rPr>
            </w:pPr>
            <w:r>
              <w:rPr>
                <w:rFonts w:eastAsia="Calibri" w:cs="Arial"/>
                <w:kern w:val="0"/>
                <w:sz w:val="26"/>
                <w:szCs w:val="22"/>
                <w:lang w:val="ru-RU" w:eastAsia="en-US" w:bidi="ar-SA"/>
              </w:rPr>
              <w:t>Обеспечение</w:t>
              <w:br/>
              <w:t>исполнения Договора:</w:t>
            </w:r>
          </w:p>
        </w:tc>
        <w:tc>
          <w:tcPr>
            <w:tcW w:w="6378" w:type="dxa"/>
            <w:tcBorders/>
          </w:tcPr>
          <w:p>
            <w:pPr>
              <w:pStyle w:val="Style26"/>
              <w:widowControl w:val="false"/>
              <w:suppressAutoHyphens w:val="true"/>
              <w:spacing w:before="120" w:after="60"/>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Не требуется.</w:t>
            </w:r>
          </w:p>
        </w:tc>
      </w:tr>
    </w:tbl>
    <w:p>
      <w:pPr>
        <w:pStyle w:val="Style20"/>
        <w:spacing w:before="0" w:after="0"/>
        <w:rPr/>
      </w:pPr>
      <w:bookmarkStart w:id="67" w:name="__RefHeading___Toc12918_2134259642"/>
      <w:bookmarkStart w:id="68" w:name="_Toc6"/>
      <w:bookmarkStart w:id="69" w:name="_Ref125360337"/>
      <w:bookmarkStart w:id="70" w:name="_Ref125360073"/>
      <w:bookmarkEnd w:id="67"/>
      <w:r>
        <w:rPr/>
        <w:t>Общие положения</w:t>
      </w:r>
      <w:bookmarkEnd w:id="68"/>
      <w:bookmarkEnd w:id="69"/>
      <w:bookmarkEnd w:id="70"/>
    </w:p>
    <w:p>
      <w:pPr>
        <w:pStyle w:val="Style21"/>
        <w:rPr/>
      </w:pPr>
      <w:bookmarkStart w:id="71" w:name="__RefHeading___Toc12920_2134259642"/>
      <w:bookmarkStart w:id="72" w:name="_Toc7"/>
      <w:bookmarkEnd w:id="71"/>
      <w:r>
        <w:rPr/>
        <w:t>Общие сведения о закупке</w:t>
      </w:r>
      <w:bookmarkEnd w:id="72"/>
    </w:p>
    <w:p>
      <w:pPr>
        <w:pStyle w:val="Style22"/>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2"/>
        <w:spacing w:before="0" w:after="0"/>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2"/>
        <w:spacing w:before="0" w:after="0"/>
        <w:rPr/>
      </w:pPr>
      <w:r>
        <w:rPr/>
        <w:t xml:space="preserve">Требования к поставляемой продукции, включая срок, объем и место поставки продукции, изложены в </w:t>
      </w:r>
      <w:hyperlink w:anchor="Прил01_ТехТребования" w:tgtFrame="#Прил01_ТехТребования">
        <w:r>
          <w:rPr>
            <w:u w:val="single"/>
          </w:rPr>
          <w:t>Технических требованиях (Приложение № 1)</w:t>
        </w:r>
      </w:hyperlink>
      <w:r>
        <w:rPr/>
        <w:t xml:space="preserve">. </w:t>
      </w:r>
      <w:hyperlink w:anchor="Прил02_ПроектДоговора" w:tgtFrame="#Прил02_ПроектДоговора">
        <w:r>
          <w:rPr>
            <w:u w:val="single"/>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tgtFrame="#Прил02_ПроектДоговора">
        <w:r>
          <w:rPr>
            <w:u w:val="single"/>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w:t>
      </w:r>
    </w:p>
    <w:p>
      <w:pPr>
        <w:pStyle w:val="Style22"/>
        <w:spacing w:before="0" w:after="0"/>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tgtFrame="#Прил04_ФормыЗаявки">
        <w:r>
          <w:rPr>
            <w:u w:val="single"/>
          </w:rPr>
          <w:t>№ 4</w:t>
        </w:r>
      </w:hyperlink>
      <w:r>
        <w:rPr/>
        <w:t xml:space="preserve">, </w:t>
      </w:r>
      <w:hyperlink w:anchor="Прил05_ФормыПобедителя" w:tgtFrame="#Прил05_ФормыПобедителя">
        <w:r>
          <w:rPr>
            <w:u w:val="single"/>
          </w:rPr>
          <w:t>№ 5</w:t>
        </w:r>
      </w:hyperlink>
      <w:r>
        <w:rPr/>
        <w:t>.</w:t>
      </w:r>
    </w:p>
    <w:p>
      <w:pPr>
        <w:pStyle w:val="Style21"/>
        <w:rPr/>
      </w:pPr>
      <w:bookmarkStart w:id="73" w:name="__RefHeading___Toc12922_2134259642"/>
      <w:bookmarkStart w:id="74" w:name="_Toc8"/>
      <w:bookmarkEnd w:id="73"/>
      <w:r>
        <w:rPr/>
        <w:t>Правовой статус документов</w:t>
      </w:r>
      <w:bookmarkEnd w:id="74"/>
    </w:p>
    <w:p>
      <w:pPr>
        <w:pStyle w:val="Style22"/>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spacing w:before="0" w:after="0"/>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spacing w:before="0" w:after="0"/>
        <w:rPr/>
      </w:pPr>
      <w:bookmarkStart w:id="7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75"/>
      <w:r>
        <w:rPr/>
        <w:t>.</w:t>
      </w:r>
    </w:p>
    <w:p>
      <w:pPr>
        <w:pStyle w:val="Style22"/>
        <w:spacing w:before="0" w:after="0"/>
        <w:rPr/>
      </w:pPr>
      <w:r>
        <w:rPr/>
        <w:t>Заключенный по результатам закупки Договор, в том числе, фиксирует все достигнутые сторонами договоренности.</w:t>
      </w:r>
    </w:p>
    <w:p>
      <w:pPr>
        <w:pStyle w:val="Style22"/>
        <w:spacing w:before="0" w:after="0"/>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spacing w:before="0" w:after="0"/>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spacing w:before="0" w:after="0"/>
        <w:rPr/>
      </w:pPr>
      <w:r>
        <w:rPr/>
        <w:t>Иные документы Организатора и Участников не определяют права и обязанности сторон в связи с данной закупкой.</w:t>
      </w:r>
    </w:p>
    <w:p>
      <w:pPr>
        <w:pStyle w:val="Style22"/>
        <w:spacing w:before="0" w:after="0"/>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pPr>
      <w:bookmarkStart w:id="76" w:name="__RefHeading___Toc12924_2134259642"/>
      <w:bookmarkStart w:id="77" w:name="_Toc9"/>
      <w:bookmarkStart w:id="78" w:name="_Ref125363536"/>
      <w:bookmarkEnd w:id="76"/>
      <w:r>
        <w:rPr/>
        <w:t>Обжалование</w:t>
      </w:r>
      <w:bookmarkEnd w:id="77"/>
      <w:bookmarkEnd w:id="78"/>
    </w:p>
    <w:p>
      <w:pPr>
        <w:pStyle w:val="Style22"/>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spacing w:before="0" w:after="0"/>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spacing w:before="0" w:after="0"/>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spacing w:before="0" w:after="0"/>
        <w:rPr/>
      </w:pPr>
      <w:r>
        <w:rPr/>
        <w:t>признать заявление Участника необоснованным.</w:t>
      </w:r>
    </w:p>
    <w:p>
      <w:pPr>
        <w:pStyle w:val="Style22"/>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2"/>
        <w:spacing w:before="0" w:after="0"/>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spacing w:before="0" w:after="0"/>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79" w:name="_Hlk219296876"/>
      <w:bookmarkStart w:id="80" w:name="_Hlk219301278"/>
      <w:r>
        <w:rPr/>
        <w:t>Красноярского края</w:t>
      </w:r>
      <w:bookmarkEnd w:id="79"/>
      <w:bookmarkEnd w:id="80"/>
      <w:r>
        <w:rPr/>
        <w:t>.</w:t>
      </w:r>
    </w:p>
    <w:p>
      <w:pPr>
        <w:pStyle w:val="Style26"/>
        <w:ind w:left="1134" w:hanging="0"/>
        <w:rPr/>
      </w:pPr>
      <w:r>
        <w:rPr/>
        <w:t>Закупочная комиссия определяется в соответствии с Положением о закупке.</w:t>
      </w:r>
    </w:p>
    <w:p>
      <w:pPr>
        <w:pStyle w:val="Style21"/>
        <w:rPr/>
      </w:pPr>
      <w:bookmarkStart w:id="81" w:name="__RefHeading___Toc12926_2134259642"/>
      <w:bookmarkStart w:id="82" w:name="_Toc10"/>
      <w:bookmarkEnd w:id="81"/>
      <w:r>
        <w:rPr/>
        <w:t>Особые положения при проведении закупки с использованием ЭП</w:t>
      </w:r>
      <w:bookmarkEnd w:id="82"/>
    </w:p>
    <w:p>
      <w:pPr>
        <w:pStyle w:val="Style22"/>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2"/>
        <w:spacing w:before="0" w:after="0"/>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spacing w:before="0" w:after="0"/>
        <w:rPr/>
      </w:pPr>
      <w:r>
        <w:rPr/>
        <w:t>Правила проведения закупки в том числе определяются Регламентом ЭП.</w:t>
      </w:r>
    </w:p>
    <w:p>
      <w:pPr>
        <w:pStyle w:val="Style22"/>
        <w:spacing w:before="0" w:after="0"/>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spacing w:before="0" w:after="0"/>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pPr>
      <w:bookmarkStart w:id="83" w:name="__RefHeading___Toc12928_2134259642"/>
      <w:bookmarkStart w:id="84" w:name="_Toc11"/>
      <w:bookmarkEnd w:id="83"/>
      <w:r>
        <w:rPr/>
        <w:t>Прочие положения</w:t>
      </w:r>
      <w:bookmarkEnd w:id="84"/>
    </w:p>
    <w:p>
      <w:pPr>
        <w:pStyle w:val="Style22"/>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spacing w:before="0" w:after="0"/>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spacing w:before="0" w:after="0"/>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spacing w:before="0" w:after="0"/>
        <w:rPr/>
      </w:pPr>
      <w:bookmarkStart w:id="85" w:name="__RefHeading___Toc12930_2134259642"/>
      <w:bookmarkStart w:id="86" w:name="_Toc12"/>
      <w:bookmarkStart w:id="87" w:name="_Ref125361210"/>
      <w:bookmarkEnd w:id="85"/>
      <w:r>
        <w:rPr/>
        <w:t>Требования к Участникам</w:t>
      </w:r>
      <w:bookmarkEnd w:id="86"/>
      <w:bookmarkEnd w:id="87"/>
    </w:p>
    <w:p>
      <w:pPr>
        <w:pStyle w:val="Style21"/>
        <w:rPr/>
      </w:pPr>
      <w:bookmarkStart w:id="88" w:name="__RefHeading___Toc12932_2134259642"/>
      <w:bookmarkStart w:id="89" w:name="_Toc13"/>
      <w:bookmarkStart w:id="90" w:name="_Ref127524530"/>
      <w:bookmarkEnd w:id="88"/>
      <w:r>
        <w:rPr/>
        <w:t>Общие требования к Участникам</w:t>
      </w:r>
      <w:bookmarkEnd w:id="89"/>
      <w:bookmarkEnd w:id="90"/>
    </w:p>
    <w:p>
      <w:pPr>
        <w:pStyle w:val="Style22"/>
        <w:rPr/>
      </w:pPr>
      <w:bookmarkStart w:id="91"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91"/>
    </w:p>
    <w:p>
      <w:pPr>
        <w:pStyle w:val="Style22"/>
        <w:spacing w:before="0" w:after="0"/>
        <w:rPr/>
      </w:pPr>
      <w:r>
        <w:rPr/>
        <w:t>Однако, чтобы претендовать на победу в закупке Участник в целом должен отвечать требованиям, установленным в Документации о закупке.</w:t>
      </w:r>
    </w:p>
    <w:p>
      <w:pPr>
        <w:pStyle w:val="Style22"/>
        <w:spacing w:before="0" w:after="0"/>
        <w:rPr/>
      </w:pPr>
      <w:r>
        <w:rPr/>
        <w:t xml:space="preserve">Требования к Участникам установлены с учетом предмета договора, </w:t>
      </w:r>
      <w:hyperlink w:anchor="Прил01_ТехТребования" w:tgtFrame="#Прил01_ТехТребования">
        <w:r>
          <w:rPr>
            <w:u w:val="single"/>
          </w:rPr>
          <w:t>Технических требований (Приложение № 1)</w:t>
        </w:r>
      </w:hyperlink>
      <w:r>
        <w:rPr/>
        <w:t xml:space="preserve"> и </w:t>
      </w:r>
      <w:hyperlink w:anchor="Прил02_ПроектДоговора" w:tgtFrame="#Прил02_ПроектДоговора">
        <w:r>
          <w:rPr>
            <w:u w:val="single"/>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w:t>
      </w:r>
    </w:p>
    <w:p>
      <w:pPr>
        <w:pStyle w:val="Style22"/>
        <w:keepNext w:val="true"/>
        <w:spacing w:before="0" w:after="0"/>
        <w:rPr/>
      </w:pPr>
      <w:r>
        <w:rPr/>
        <w:t>Установлены следующие требования к Участникам, которые приведены в </w:t>
      </w:r>
      <w:hyperlink w:anchor="Прил03_ТребованияУчастникам" w:tgtFrame="#Прил03_ТребованияУчастникам">
        <w:r>
          <w:rPr>
            <w:u w:val="single"/>
          </w:rPr>
          <w:t>Приложении № 3</w:t>
        </w:r>
      </w:hyperlink>
      <w:r>
        <w:rPr/>
        <w:t>:</w:t>
      </w:r>
    </w:p>
    <w:p>
      <w:pPr>
        <w:pStyle w:val="Style23"/>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3"/>
        <w:spacing w:before="0" w:after="0"/>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2"/>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2"/>
        <w:spacing w:before="0" w:after="0"/>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tgtFrame="#Прил03_ТребованияУчастникам">
        <w:r>
          <w:rPr>
            <w:u w:val="single"/>
          </w:rPr>
          <w:t>Требованиях к Участникам (Приложение № 3)</w:t>
        </w:r>
      </w:hyperlink>
      <w:r>
        <w:rPr/>
        <w:t xml:space="preserve">, </w:t>
      </w:r>
      <w:bookmarkStart w:id="92" w:name="_Hlk132706049"/>
      <w:r>
        <w:rPr/>
        <w:t>если иное не установлено в Документации о закупке</w:t>
      </w:r>
      <w:bookmarkEnd w:id="92"/>
      <w:r>
        <w:rPr/>
        <w:t>.</w:t>
      </w:r>
    </w:p>
    <w:p>
      <w:pPr>
        <w:pStyle w:val="Style21"/>
        <w:rPr/>
      </w:pPr>
      <w:bookmarkStart w:id="93" w:name="__RefHeading___Toc12934_2134259642"/>
      <w:bookmarkStart w:id="94" w:name="_Toc14"/>
      <w:bookmarkStart w:id="95" w:name="_Ref125361702"/>
      <w:bookmarkStart w:id="96" w:name="_Ref125361969"/>
      <w:bookmarkStart w:id="97" w:name="_Ref125361976"/>
      <w:bookmarkEnd w:id="93"/>
      <w:bookmarkEnd w:id="96"/>
      <w:bookmarkEnd w:id="97"/>
      <w:r>
        <w:rPr/>
        <w:t>Генеральные подрядчики</w:t>
      </w:r>
      <w:bookmarkEnd w:id="94"/>
      <w:bookmarkEnd w:id="95"/>
    </w:p>
    <w:p>
      <w:pPr>
        <w:pStyle w:val="Style22"/>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2"/>
        <w:spacing w:before="0" w:after="0"/>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u w:val="single"/>
          </w:rPr>
          <w:t>Требований к Участникам (Приложение № 3)</w:t>
        </w:r>
      </w:hyperlink>
      <w:r>
        <w:rPr/>
        <w:t>.</w:t>
      </w:r>
    </w:p>
    <w:p>
      <w:pPr>
        <w:pStyle w:val="Style22"/>
        <w:keepNext w:val="true"/>
        <w:spacing w:before="0" w:after="0"/>
        <w:rPr/>
      </w:pPr>
      <w:r>
        <w:rPr/>
        <w:t>Генеральный подрядчик:</w:t>
      </w:r>
    </w:p>
    <w:p>
      <w:pPr>
        <w:pStyle w:val="Style23"/>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spacing w:before="0" w:after="0"/>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spacing w:before="0" w:after="0"/>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u w:val="single"/>
          </w:rPr>
          <w:t>Приложение № 4</w:t>
        </w:r>
      </w:hyperlink>
      <w:r>
        <w:rPr/>
        <w:t>).</w:t>
      </w:r>
    </w:p>
    <w:p>
      <w:pPr>
        <w:pStyle w:val="Style22"/>
        <w:keepNext w:val="true"/>
        <w:rPr/>
      </w:pPr>
      <w:r>
        <w:rPr/>
        <w:t>Каждый субподрядчик из привлекаемых Генеральным подрядчиком должен отвечать:</w:t>
      </w:r>
    </w:p>
    <w:p>
      <w:pPr>
        <w:pStyle w:val="Style23"/>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spacing w:before="0" w:after="0"/>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98"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98"/>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u w:val="single"/>
          </w:rPr>
          <w:t>Приложение № 4</w:t>
        </w:r>
      </w:hyperlink>
      <w:r>
        <w:rPr/>
        <w:t>).</w:t>
      </w:r>
    </w:p>
    <w:p>
      <w:pPr>
        <w:pStyle w:val="Style22"/>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spacing w:before="0" w:after="0"/>
        <w:rPr/>
      </w:pPr>
      <w:bookmarkStart w:id="99"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99"/>
    </w:p>
    <w:p>
      <w:pPr>
        <w:sectPr>
          <w:headerReference w:type="default" r:id="rId2"/>
          <w:footerReference w:type="default" r:id="rId3"/>
          <w:footnotePr>
            <w:numFmt w:val="decimal"/>
          </w:footnotePr>
          <w:type w:val="nextPage"/>
          <w:pgSz w:w="11906" w:h="16838"/>
          <w:pgMar w:left="1134" w:right="567" w:gutter="0" w:header="567" w:top="851" w:footer="567" w:bottom="851"/>
          <w:pgNumType w:fmt="decimal"/>
          <w:formProt w:val="false"/>
          <w:textDirection w:val="lrTb"/>
          <w:docGrid w:type="default" w:linePitch="360" w:charSpace="0"/>
        </w:sectPr>
        <w:pStyle w:val="Style22"/>
        <w:spacing w:before="0" w:after="0"/>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u w:val="single"/>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100" w:name="__RefHeading___Toc12936_2134259642"/>
      <w:bookmarkStart w:id="101" w:name="_Ref125367098"/>
      <w:bookmarkStart w:id="102" w:name="_Toc15"/>
      <w:bookmarkStart w:id="103" w:name="_Ref125367107"/>
      <w:bookmarkStart w:id="104" w:name="_Ref125367974"/>
      <w:bookmarkStart w:id="105" w:name="_Ref125361211"/>
      <w:bookmarkEnd w:id="100"/>
      <w:r>
        <w:rPr/>
        <w:t>Порядок проведения закупки</w:t>
      </w:r>
      <w:bookmarkEnd w:id="101"/>
      <w:bookmarkEnd w:id="102"/>
      <w:bookmarkEnd w:id="103"/>
      <w:bookmarkEnd w:id="104"/>
      <w:bookmarkEnd w:id="105"/>
    </w:p>
    <w:p>
      <w:pPr>
        <w:pStyle w:val="Style21"/>
        <w:rPr/>
      </w:pPr>
      <w:bookmarkStart w:id="106" w:name="__RefHeading___Toc12938_2134259642"/>
      <w:bookmarkStart w:id="107" w:name="_Toc16"/>
      <w:bookmarkStart w:id="108" w:name="_Ref126141932"/>
      <w:bookmarkEnd w:id="106"/>
      <w:r>
        <w:rPr/>
        <w:t>Общий порядок проведения закупки</w:t>
      </w:r>
      <w:bookmarkEnd w:id="107"/>
      <w:bookmarkEnd w:id="108"/>
    </w:p>
    <w:p>
      <w:pPr>
        <w:pStyle w:val="Style22"/>
        <w:keepNext w:val="true"/>
        <w:spacing w:before="120" w:after="120"/>
        <w:rPr/>
      </w:pPr>
      <w:r>
        <w:rPr/>
        <w:t>Закупка проводится в следующем порядке:</w:t>
      </w:r>
    </w:p>
    <w:tbl>
      <w:tblPr>
        <w:tblStyle w:val="1442"/>
        <w:tblW w:w="14319"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372"/>
        <w:gridCol w:w="1758"/>
        <w:gridCol w:w="1461"/>
        <w:gridCol w:w="3216"/>
        <w:gridCol w:w="2693"/>
        <w:gridCol w:w="2692"/>
        <w:gridCol w:w="2126"/>
      </w:tblGrid>
      <w:tr>
        <w:trPr/>
        <w:tc>
          <w:tcPr>
            <w:tcW w:w="372" w:type="dxa"/>
            <w:tcBorders>
              <w:left w:val="nil"/>
            </w:tcBorders>
            <w:vAlign w:val="bottom"/>
          </w:tcPr>
          <w:p>
            <w:pPr>
              <w:pStyle w:val="Style26"/>
              <w:keepNext w:val="true"/>
              <w:widowControl w:val="false"/>
              <w:suppressAutoHyphens w:val="true"/>
              <w:spacing w:before="40" w:after="40"/>
              <w:jc w:val="center"/>
              <w:rPr>
                <w:bCs/>
                <w:sz w:val="24"/>
                <w:szCs w:val="24"/>
              </w:rPr>
            </w:pPr>
            <w:r>
              <w:rPr>
                <w:rFonts w:eastAsia="Wingdings 3" w:cs="Wingdings 3" w:ascii="Wingdings 3" w:hAnsi="Wingdings 3"/>
                <w:b w:val="false"/>
                <w:bCs/>
                <w:kern w:val="0"/>
                <w:sz w:val="24"/>
                <w:szCs w:val="24"/>
                <w:lang w:val="ru-RU" w:eastAsia="en-US" w:bidi="ar-SA"/>
              </w:rPr>
              <w:t></w:t>
            </w:r>
          </w:p>
        </w:tc>
        <w:tc>
          <w:tcPr>
            <w:tcW w:w="13946" w:type="dxa"/>
            <w:gridSpan w:val="6"/>
            <w:tcBorders>
              <w:right w:val="nil"/>
            </w:tcBorders>
          </w:tcPr>
          <w:p>
            <w:pPr>
              <w:pStyle w:val="Style26"/>
              <w:widowControl w:val="false"/>
              <w:suppressAutoHyphens w:val="true"/>
              <w:spacing w:before="40" w:after="40"/>
              <w:jc w:val="center"/>
              <w:rPr>
                <w:bCs/>
                <w:sz w:val="24"/>
                <w:szCs w:val="24"/>
              </w:rPr>
            </w:pPr>
            <w:r>
              <w:rPr>
                <w:rFonts w:eastAsia="Calibri" w:cs="Arial"/>
                <w:b/>
                <w:bCs/>
                <w:kern w:val="0"/>
                <w:sz w:val="24"/>
                <w:szCs w:val="24"/>
                <w:lang w:val="ru-RU" w:eastAsia="en-US" w:bidi="ar-SA"/>
              </w:rPr>
              <w:t>Официальное размещение Извещения и Документации о закупке (подраздел </w:t>
            </w:r>
            <w:r>
              <w:rPr>
                <w:rFonts w:eastAsia="Calibri" w:cs="Arial"/>
                <w:b/>
                <w:bCs/>
                <w:kern w:val="0"/>
                <w:sz w:val="24"/>
                <w:szCs w:val="24"/>
                <w:lang w:val="ru-RU" w:eastAsia="en-US" w:bidi="ar-SA"/>
              </w:rPr>
              <w:fldChar w:fldCharType="begin"/>
            </w:r>
            <w:r>
              <w:rPr>
                <w:sz w:val="24"/>
                <w:b/>
                <w:kern w:val="0"/>
                <w:szCs w:val="24"/>
                <w:bCs/>
                <w:rFonts w:eastAsia="Calibri" w:cs="Arial"/>
                <w:lang w:val="ru-RU" w:eastAsia="en-US" w:bidi="ar-SA"/>
              </w:rPr>
              <w:instrText xml:space="preserve"> REF _Ref130286532 \r \h </w:instrText>
            </w:r>
            <w:r>
              <w:rPr>
                <w:sz w:val="24"/>
                <w:b/>
                <w:kern w:val="0"/>
                <w:szCs w:val="24"/>
                <w:bCs/>
                <w:rFonts w:eastAsia="Calibri" w:cs="Arial"/>
                <w:lang w:val="ru-RU" w:eastAsia="en-US" w:bidi="ar-SA"/>
              </w:rPr>
              <w:fldChar w:fldCharType="separate"/>
            </w:r>
            <w:r>
              <w:rPr>
                <w:sz w:val="24"/>
                <w:b/>
                <w:kern w:val="0"/>
                <w:szCs w:val="24"/>
                <w:bCs/>
                <w:rFonts w:eastAsia="Calibri" w:cs="Arial"/>
                <w:lang w:val="ru-RU" w:eastAsia="en-US" w:bidi="ar-SA"/>
              </w:rPr>
              <w:t>4.2</w:t>
            </w:r>
            <w:r>
              <w:rPr>
                <w:sz w:val="24"/>
                <w:b/>
                <w:kern w:val="0"/>
                <w:szCs w:val="24"/>
                <w:bCs/>
                <w:rFonts w:eastAsia="Calibri" w:cs="Arial"/>
                <w:lang w:val="ru-RU" w:eastAsia="en-US" w:bidi="ar-SA"/>
              </w:rPr>
              <w:fldChar w:fldCharType="end"/>
            </w:r>
            <w:r>
              <w:rPr>
                <w:rFonts w:eastAsia="Calibri" w:cs="Arial"/>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Подготовка заявки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_Ref130281199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restart"/>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Предоставление разъяснений положений Документации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_Ref130394205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692" w:type="dxa"/>
            <w:vMerge w:val="restart"/>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Внесение изменений в Извещение и (или) Документацию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_Ref125362076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126" w:type="dxa"/>
            <w:vMerge w:val="restart"/>
            <w:tcBorders>
              <w:right w:val="nil"/>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_Ref132816134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758" w:type="dxa"/>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Подача заявок и их прием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_Ref125362119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4677"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Изменение и отзыв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_Ref125362130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1820" w:type="dxa"/>
            <w:gridSpan w:val="5"/>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Открытие доступа к первым частям заявок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_Ref132816188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4.8</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126" w:type="dxa"/>
            <w:tcBorders>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_Ref125362364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4.9</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restart"/>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Направление дополнительных запросов разъяснений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_Ref125362381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c>
          <w:tcPr>
            <w:tcW w:w="2692"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Признание закупки</w:t>
              <w:br/>
              <w:t>несостоявшейся</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_Ref125364149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c>
          <w:tcPr>
            <w:tcW w:w="2126"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_Ref132816141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Открытие доступа ко вторым частям заявок</w:t>
              <w:br/>
              <w:t>и ценовым предложениям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_Ref132801184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4.10</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_Ref132797154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4.11</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3216" w:type="dxa"/>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w:t>
            </w:r>
            <w:r>
              <w:rPr>
                <w:rFonts w:eastAsia="Calibri" w:cs="Arial"/>
                <w:bCs/>
                <w:kern w:val="0"/>
                <w:sz w:val="24"/>
                <w:szCs w:val="24"/>
                <w:u w:val="single"/>
                <w:lang w:val="ru-RU" w:eastAsia="en-US" w:bidi="ar-SA"/>
              </w:rPr>
              <w:t>предоставление национального режима / запрета, ограничения</w:t>
            </w:r>
            <w:r>
              <w:rPr>
                <w:rFonts w:eastAsia="Calibri" w:cs="Arial"/>
                <w:bCs/>
                <w:kern w:val="0"/>
                <w:sz w:val="24"/>
                <w:szCs w:val="24"/>
                <w:lang w:val="ru-RU" w:eastAsia="en-US" w:bidi="ar-SA"/>
              </w:rPr>
              <w:t>)</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_Ref132816300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1758" w:type="dxa"/>
            <w:tcBorders/>
            <w:vAlign w:val="center"/>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Оценка и сопоставление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_Ref125362626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4677" w:type="dxa"/>
            <w:gridSpan w:val="2"/>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_Ref132816300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3"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t></w:t>
            </w:r>
          </w:p>
        </w:tc>
        <w:tc>
          <w:tcPr>
            <w:tcW w:w="9128" w:type="dxa"/>
            <w:gridSpan w:val="4"/>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Подведение итогов закупки (определение Победителя)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_Ref125362658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692"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126"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t></w:t>
            </w:r>
          </w:p>
        </w:tc>
        <w:tc>
          <w:tcPr>
            <w:tcW w:w="6435" w:type="dxa"/>
            <w:gridSpan w:val="3"/>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Заключение Договора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_Ref138341423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7511" w:type="dxa"/>
            <w:gridSpan w:val="3"/>
            <w:tcBorders>
              <w:right w:val="nil"/>
            </w:tcBorders>
          </w:tcPr>
          <w:p>
            <w:pPr>
              <w:pStyle w:val="Style26"/>
              <w:widowControl w:val="false"/>
              <w:suppressAutoHyphens w:val="true"/>
              <w:spacing w:before="40" w:after="40"/>
              <w:jc w:val="center"/>
              <w:rPr>
                <w:bCs/>
                <w:sz w:val="24"/>
                <w:szCs w:val="24"/>
              </w:rPr>
            </w:pPr>
            <w:r>
              <w:rPr>
                <w:rFonts w:eastAsia="Calibri" w:cs="Arial"/>
                <w:bCs/>
                <w:kern w:val="0"/>
                <w:sz w:val="24"/>
                <w:szCs w:val="24"/>
                <w:lang w:val="ru-RU" w:eastAsia="en-US" w:bidi="ar-SA"/>
              </w:rPr>
              <w:t>Уклонение Победителя от заключения Договора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_Ref125367068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bl>
    <w:p>
      <w:pPr>
        <w:sectPr>
          <w:headerReference w:type="default" r:id="rId4"/>
          <w:headerReference w:type="first" r:id="rId5"/>
          <w:footerReference w:type="default" r:id="rId6"/>
          <w:footerReference w:type="first" r:id="rId7"/>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Pr>
    </w:p>
    <w:p>
      <w:pPr>
        <w:pStyle w:val="Style21"/>
        <w:rPr/>
      </w:pPr>
      <w:bookmarkStart w:id="109" w:name="__RefHeading___Toc12940_2134259642"/>
      <w:bookmarkStart w:id="110" w:name="_Toc17"/>
      <w:bookmarkStart w:id="111" w:name="_Ref130286532"/>
      <w:bookmarkEnd w:id="109"/>
      <w:r>
        <w:rPr/>
        <w:t>Официальное размещение Извещения и Документации о закупке</w:t>
      </w:r>
      <w:bookmarkEnd w:id="110"/>
      <w:bookmarkEnd w:id="111"/>
    </w:p>
    <w:p>
      <w:pPr>
        <w:pStyle w:val="Style22"/>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spacing w:before="0" w:after="0"/>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spacing w:before="0" w:after="0"/>
        <w:rPr/>
      </w:pPr>
      <w:bookmarkStart w:id="112"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2"/>
    </w:p>
    <w:p>
      <w:pPr>
        <w:pStyle w:val="Style22"/>
        <w:spacing w:before="0" w:after="0"/>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pPr>
      <w:bookmarkStart w:id="113" w:name="__RefHeading___Toc12942_2134259642"/>
      <w:bookmarkStart w:id="114" w:name="_Toc18"/>
      <w:bookmarkStart w:id="115" w:name="_Ref130281199"/>
      <w:bookmarkStart w:id="116" w:name="_Ref130394681"/>
      <w:bookmarkEnd w:id="113"/>
      <w:r>
        <w:rPr/>
        <w:t>Подготовка заявки</w:t>
      </w:r>
      <w:bookmarkEnd w:id="114"/>
      <w:bookmarkEnd w:id="115"/>
      <w:bookmarkEnd w:id="116"/>
    </w:p>
    <w:p>
      <w:pPr>
        <w:pStyle w:val="Style22"/>
        <w:rPr/>
      </w:pPr>
      <w:r>
        <w:rPr/>
        <w:t>Участник должен подготовить заявку с учетом требований Документации о закупке.</w:t>
      </w:r>
    </w:p>
    <w:p>
      <w:pPr>
        <w:pStyle w:val="Style22"/>
        <w:spacing w:before="0" w:after="0"/>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spacing w:before="0" w:after="0"/>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tgtFrame="#Прил06_СоставЗаявки">
        <w:r>
          <w:rPr>
            <w:u w:val="single"/>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tgtFrame="#Прил04_ФормыЗаявки">
        <w:r>
          <w:rPr>
            <w:u w:val="single"/>
          </w:rPr>
          <w:t>Приложение № 4</w:t>
        </w:r>
      </w:hyperlink>
      <w:r>
        <w:rPr/>
        <w:t>.</w:t>
      </w:r>
    </w:p>
    <w:p>
      <w:pPr>
        <w:pStyle w:val="Style22"/>
        <w:spacing w:before="0" w:after="0"/>
        <w:rPr/>
      </w:pPr>
      <w:r>
        <w:rPr/>
        <w:t xml:space="preserve">Непосредственно перед подачей заявки Участник должен разделить подготовленные документы на отдельные части: </w:t>
      </w:r>
      <w:bookmarkStart w:id="117" w:name="_Hlk132886098"/>
      <w:r>
        <w:rPr/>
        <w:t>первую часть, вторую часть и ценовое предложение</w:t>
      </w:r>
      <w:bookmarkEnd w:id="117"/>
      <w:r>
        <w:rPr/>
        <w:t xml:space="preserve"> в соответствии с перечнем документов, входящих в каждую из частей, определенному </w:t>
      </w:r>
      <w:hyperlink w:anchor="Прил06_СоставЗаявки" w:tgtFrame="#Прил06_СоставЗаявки">
        <w:r>
          <w:rPr>
            <w:u w:val="single"/>
          </w:rPr>
          <w:t>Приложением № 6 – Состав заявки</w:t>
        </w:r>
      </w:hyperlink>
      <w:r>
        <w:rPr/>
        <w:t>.</w:t>
      </w:r>
    </w:p>
    <w:p>
      <w:pPr>
        <w:pStyle w:val="Style22"/>
        <w:spacing w:before="0" w:after="0"/>
        <w:rPr/>
      </w:pPr>
      <w:r>
        <w:rPr>
          <w:rFonts w:eastAsia="Calibri" w:cs="Arial" w:cstheme="minorBidi" w:eastAsiaTheme="minorHAnsi"/>
          <w:shd w:fill="FFFF00" w:val="clear"/>
        </w:rPr>
        <w:t>В первую часть заявки</w:t>
      </w:r>
      <w:r>
        <w:rPr/>
        <w:t xml:space="preserve"> должны входить документы, содержащие исключительно описание предлагаемой к поставке продукции, которая является предметом настоящей закупки </w:t>
      </w:r>
      <w:r>
        <w:rPr>
          <w:rFonts w:eastAsia="Calibri" w:cs="Arial" w:cstheme="minorBidi" w:eastAsiaTheme="minorHAnsi"/>
          <w:shd w:fill="FFFF00" w:val="clear"/>
        </w:rPr>
        <w:t>(без указания сведений об Участнике и (или) о его ценовом предложении)</w:t>
      </w:r>
      <w:r>
        <w:rPr/>
        <w:t>,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w:t>
      </w:r>
    </w:p>
    <w:p>
      <w:pPr>
        <w:pStyle w:val="Style22"/>
        <w:spacing w:before="0" w:after="0"/>
        <w:rPr/>
      </w:pPr>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tgtFrame="#Прил08_ПорядокОценки">
        <w:r>
          <w:rPr>
            <w:u w:val="single"/>
          </w:rPr>
          <w:t>Порядке и критериях оценки и сопоставления заявок (Приложение № 8)</w:t>
        </w:r>
      </w:hyperlink>
      <w:r>
        <w:rPr/>
        <w:t>).</w:t>
      </w:r>
    </w:p>
    <w:p>
      <w:pPr>
        <w:pStyle w:val="Style22"/>
        <w:spacing w:before="0" w:after="0"/>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spacing w:before="0" w:after="0"/>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spacing w:before="0" w:after="0"/>
        <w:rPr/>
      </w:pPr>
      <w:bookmarkStart w:id="118" w:name="_Ref130394854"/>
      <w:bookmarkStart w:id="119"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8"/>
      <w:bookmarkEnd w:id="119"/>
    </w:p>
    <w:p>
      <w:pPr>
        <w:pStyle w:val="Style22"/>
        <w:spacing w:before="0" w:after="0"/>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tgtFrame="#Прил04_ФормыЗаявки">
        <w:r>
          <w:rPr>
            <w:u w:val="single"/>
          </w:rPr>
          <w:t>Приложение № 4</w:t>
        </w:r>
      </w:hyperlink>
      <w:r>
        <w:rPr/>
        <w:t>) может служить основанием для отклонения заявки.</w:t>
      </w:r>
    </w:p>
    <w:p>
      <w:pPr>
        <w:pStyle w:val="Style22"/>
        <w:spacing w:before="0" w:after="0"/>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spacing w:before="0" w:after="0"/>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spacing w:before="0" w:after="0"/>
        <w:rPr/>
      </w:pPr>
      <w:bookmarkStart w:id="120" w:name="_Ref125370700"/>
      <w:bookmarkStart w:id="121"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2"/>
        <w:spacing w:before="0" w:after="0"/>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tgtFrame="#Прил01_ТехТребования">
        <w:r>
          <w:rPr>
            <w:u w:val="single"/>
          </w:rPr>
          <w:t>Техническими требованиями (Приложение № 1)</w:t>
        </w:r>
      </w:hyperlink>
      <w:r>
        <w:rPr/>
        <w:t xml:space="preserve"> и </w:t>
      </w:r>
      <w:hyperlink w:anchor="Прил02_ПроектДоговора" w:tgtFrame="#Прил02_ПроектДоговора">
        <w:r>
          <w:rPr>
            <w:u w:val="single"/>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0"/>
      <w:bookmarkEnd w:id="121"/>
    </w:p>
    <w:p>
      <w:pPr>
        <w:pStyle w:val="Style22"/>
        <w:spacing w:before="0" w:after="0"/>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tgtFrame="#Прил04_ФормыЗаявки">
        <w:r>
          <w:rPr>
            <w:u w:val="single"/>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tgtFrame="#Прил01_ТехТребования">
        <w:r>
          <w:rPr>
            <w:u w:val="single"/>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spacing w:before="0" w:after="0"/>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spacing w:before="0" w:after="0"/>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pPr>
      <w:r>
        <w:rPr/>
        <w:t>внутренние противоречия между различными частями и (или) документами заявки, в том числе по тексту внутри одного документа;</w:t>
      </w:r>
    </w:p>
    <w:p>
      <w:pPr>
        <w:pStyle w:val="Style23"/>
        <w:spacing w:before="0" w:after="0"/>
        <w:rPr/>
      </w:pPr>
      <w:bookmarkStart w:id="122" w:name="_Ref125370398"/>
      <w:bookmarkStart w:id="123" w:name="_Ref125714384"/>
      <w:r>
        <w:rPr/>
        <w:t>противоречия между документами заявки и сведениями, указанными Участником в структурированных формах на ЭП.</w:t>
      </w:r>
      <w:bookmarkEnd w:id="122"/>
      <w:bookmarkEnd w:id="123"/>
    </w:p>
    <w:p>
      <w:pPr>
        <w:pStyle w:val="Style22"/>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pPr>
      <w:r>
        <w:rPr/>
        <w:t>полномочий таких органов / лиц на оформление этих документов;</w:t>
      </w:r>
    </w:p>
    <w:p>
      <w:pPr>
        <w:pStyle w:val="Style23"/>
        <w:spacing w:before="0" w:after="0"/>
        <w:rPr/>
      </w:pPr>
      <w:r>
        <w:rPr/>
        <w:t>формы, объема и содержания этих документов.</w:t>
      </w:r>
    </w:p>
    <w:p>
      <w:pPr>
        <w:pStyle w:val="Style22"/>
        <w:keepNext w:val="true"/>
        <w:rPr/>
      </w:pPr>
      <w:r>
        <w:rPr/>
        <w:t>Участник должен подготовить заявку с соблюдением следующих условий:</w:t>
      </w:r>
    </w:p>
    <w:p>
      <w:pPr>
        <w:pStyle w:val="Style23"/>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3"/>
        <w:spacing w:before="0" w:after="0"/>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spacing w:before="0" w:after="0"/>
        <w:rPr/>
      </w:pPr>
      <w:r>
        <w:rPr/>
        <w:t>все файлы не должны иметь защиты от их открытия, изменения, копирования их содержимого или их печати;</w:t>
      </w:r>
    </w:p>
    <w:p>
      <w:pPr>
        <w:pStyle w:val="Style23"/>
        <w:spacing w:before="0" w:after="0"/>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spacing w:before="0" w:after="0"/>
        <w:rPr/>
      </w:pPr>
      <w:r>
        <w:rPr/>
        <w:t>если какой-либо документ представлен в нечитаемом виде, данный документ считается непредставленным.</w:t>
      </w:r>
    </w:p>
    <w:p>
      <w:pPr>
        <w:pStyle w:val="Style22"/>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pPr>
      <w:bookmarkStart w:id="124" w:name="__RefHeading___Toc12944_2134259642"/>
      <w:bookmarkStart w:id="125" w:name="_Ref130394205"/>
      <w:bookmarkStart w:id="126" w:name="_Toc19"/>
      <w:bookmarkStart w:id="127" w:name="_Ref130394802"/>
      <w:bookmarkStart w:id="128" w:name="_Ref125361260"/>
      <w:bookmarkStart w:id="129" w:name="_Ref125362071"/>
      <w:bookmarkStart w:id="130" w:name="_Ref125366672"/>
      <w:bookmarkStart w:id="131" w:name="_Ref130394785"/>
      <w:bookmarkEnd w:id="124"/>
      <w:r>
        <w:rPr/>
        <w:t>Разъяснение Документации о закупке</w:t>
      </w:r>
      <w:bookmarkEnd w:id="125"/>
      <w:bookmarkEnd w:id="126"/>
      <w:bookmarkEnd w:id="127"/>
      <w:bookmarkEnd w:id="128"/>
      <w:bookmarkEnd w:id="129"/>
      <w:bookmarkEnd w:id="130"/>
      <w:bookmarkEnd w:id="131"/>
    </w:p>
    <w:p>
      <w:pPr>
        <w:pStyle w:val="Style22"/>
        <w:rPr/>
      </w:pPr>
      <w:r>
        <w:rPr/>
        <w:t>Участники вправе обратиться к Организатору за разъяснениями Документации о закупке.</w:t>
      </w:r>
    </w:p>
    <w:p>
      <w:pPr>
        <w:pStyle w:val="Style22"/>
        <w:spacing w:before="0" w:after="0"/>
        <w:rPr/>
      </w:pPr>
      <w:r>
        <w:rPr/>
        <w:t>Запросы подаются в соответствии с Регламентами и инструкциями Оператора ЭП, опубликованными на сайте соответствующей ЭП.</w:t>
      </w:r>
    </w:p>
    <w:p>
      <w:pPr>
        <w:pStyle w:val="Style22"/>
        <w:spacing w:before="0" w:after="0"/>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spacing w:before="0" w:after="0"/>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spacing w:before="0" w:after="0"/>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spacing w:before="0" w:after="0"/>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tgtFrame="#Прил02_ПроектДоговора">
        <w:r>
          <w:rPr>
            <w:u w:val="single"/>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spacing w:before="0" w:after="0"/>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pPr>
      <w:bookmarkStart w:id="132" w:name="__RefHeading___Toc12946_2134259642"/>
      <w:bookmarkStart w:id="133" w:name="_Ref125362076"/>
      <w:bookmarkStart w:id="134" w:name="_Ref125363891"/>
      <w:bookmarkStart w:id="135" w:name="_Ref125364404"/>
      <w:bookmarkStart w:id="136" w:name="_Toc20"/>
      <w:bookmarkEnd w:id="132"/>
      <w:r>
        <w:rPr/>
        <w:t>Изменения Извещения и (или) Документации о закупке</w:t>
      </w:r>
      <w:bookmarkEnd w:id="133"/>
      <w:bookmarkEnd w:id="134"/>
      <w:bookmarkEnd w:id="135"/>
      <w:bookmarkEnd w:id="136"/>
    </w:p>
    <w:p>
      <w:pPr>
        <w:pStyle w:val="Style22"/>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spacing w:before="0" w:after="0"/>
        <w:rPr/>
      </w:pPr>
      <w:r>
        <w:rPr/>
        <w:t>После окончания срока подачи заявок допускается изменение только в части установленных Документацией о закупке дат:</w:t>
      </w:r>
    </w:p>
    <w:p>
      <w:pPr>
        <w:pStyle w:val="Style23"/>
        <w:rPr/>
      </w:pPr>
      <w:r>
        <w:rPr/>
        <w:t>рассмотрения первых частей заявок / окончательных предложений;</w:t>
      </w:r>
    </w:p>
    <w:p>
      <w:pPr>
        <w:pStyle w:val="Style23"/>
        <w:spacing w:before="0" w:after="0"/>
        <w:rPr/>
      </w:pPr>
      <w:r>
        <w:rPr/>
        <w:t>рассмотрения вторых частей заявок и ценовых предложений;</w:t>
      </w:r>
    </w:p>
    <w:p>
      <w:pPr>
        <w:pStyle w:val="Style23"/>
        <w:spacing w:before="0" w:after="0"/>
        <w:rPr/>
      </w:pPr>
      <w:r>
        <w:rPr/>
        <w:t>проведения переторжки, если предусмотрен данный этап;</w:t>
      </w:r>
    </w:p>
    <w:p>
      <w:pPr>
        <w:pStyle w:val="Style23"/>
        <w:spacing w:before="0" w:after="0"/>
        <w:rPr/>
      </w:pPr>
      <w:r>
        <w:rPr/>
        <w:t>подведения итогов закупки;</w:t>
      </w:r>
    </w:p>
    <w:p>
      <w:pPr>
        <w:pStyle w:val="Style26"/>
        <w:ind w:left="1134" w:hanging="0"/>
        <w:rPr/>
      </w:pPr>
      <w:bookmarkStart w:id="137" w:name="_Ref125550844"/>
      <w:r>
        <w:rPr/>
        <w:t>в пределах срока действия заявок и с уведомлением Участников, подавших заявки.</w:t>
      </w:r>
      <w:bookmarkEnd w:id="137"/>
    </w:p>
    <w:p>
      <w:pPr>
        <w:pStyle w:val="Style22"/>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spacing w:before="0" w:after="0"/>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pPr>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23"/>
        <w:spacing w:before="0" w:after="0"/>
        <w:rPr/>
      </w:pPr>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22"/>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pPr>
      <w:bookmarkStart w:id="138" w:name="__RefHeading___Toc12948_2134259642"/>
      <w:bookmarkStart w:id="139" w:name="_Toc21"/>
      <w:bookmarkStart w:id="140" w:name="_Ref125362119"/>
      <w:bookmarkEnd w:id="138"/>
      <w:r>
        <w:rPr/>
        <w:t>Подача заявок и их прием</w:t>
      </w:r>
      <w:bookmarkEnd w:id="139"/>
      <w:bookmarkEnd w:id="140"/>
    </w:p>
    <w:p>
      <w:pPr>
        <w:pStyle w:val="Style22"/>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spacing w:before="0" w:after="0"/>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spacing w:before="0" w:after="0"/>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spacing w:before="0" w:after="0"/>
        <w:rPr/>
      </w:pPr>
      <w:r>
        <w:rPr/>
        <w:t xml:space="preserve">Заявка должна быть подписана </w:t>
      </w:r>
      <w:bookmarkStart w:id="141" w:name="_Hlk219296949"/>
      <w:r>
        <w:rPr/>
        <w:t xml:space="preserve">усиленной квалифицированной </w:t>
      </w:r>
      <w:bookmarkEnd w:id="141"/>
      <w:r>
        <w:rPr/>
        <w:t>электронной подписью лица, которое является уполномоченным представителем Участника.</w:t>
      </w:r>
    </w:p>
    <w:p>
      <w:pPr>
        <w:pStyle w:val="Style22"/>
        <w:spacing w:before="0" w:after="0"/>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spacing w:before="0" w:after="0"/>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spacing w:before="0" w:after="0"/>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1"/>
        <w:rPr/>
      </w:pPr>
      <w:bookmarkStart w:id="142" w:name="__RefHeading___Toc12950_2134259642"/>
      <w:bookmarkStart w:id="143" w:name="_Toc22"/>
      <w:bookmarkStart w:id="144" w:name="_Ref125365136"/>
      <w:bookmarkStart w:id="145" w:name="_Ref125363819"/>
      <w:bookmarkStart w:id="146" w:name="_Ref125362192"/>
      <w:bookmarkStart w:id="147" w:name="_Ref125362130"/>
      <w:bookmarkEnd w:id="142"/>
      <w:r>
        <w:rPr/>
        <w:t>Изменение и отзыв заявок</w:t>
      </w:r>
      <w:bookmarkEnd w:id="143"/>
      <w:bookmarkEnd w:id="144"/>
      <w:bookmarkEnd w:id="145"/>
      <w:bookmarkEnd w:id="146"/>
      <w:bookmarkEnd w:id="147"/>
    </w:p>
    <w:p>
      <w:pPr>
        <w:pStyle w:val="Style22"/>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spacing w:before="0" w:after="0"/>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spacing w:before="0" w:after="0"/>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2"/>
        <w:spacing w:before="0" w:after="0"/>
        <w:rPr/>
      </w:pPr>
      <w:r>
        <w:rPr/>
        <w:t>Изменения и отзыв заявки осуществляется посредством функционала ЭП (подробный порядок определяется Регламентом ЭП).</w:t>
      </w:r>
    </w:p>
    <w:p>
      <w:pPr>
        <w:pStyle w:val="Style21"/>
        <w:rPr/>
      </w:pPr>
      <w:bookmarkStart w:id="148" w:name="__RefHeading___Toc12952_2134259642"/>
      <w:bookmarkStart w:id="149" w:name="_Toc23"/>
      <w:bookmarkStart w:id="150" w:name="_Ref132816188"/>
      <w:bookmarkEnd w:id="148"/>
      <w:r>
        <w:rPr/>
        <w:t>Открытие доступа к первым частям заявок</w:t>
      </w:r>
      <w:bookmarkEnd w:id="149"/>
      <w:bookmarkEnd w:id="150"/>
    </w:p>
    <w:p>
      <w:pPr>
        <w:pStyle w:val="Style22"/>
        <w:rPr/>
      </w:pPr>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1"/>
        <w:rPr/>
      </w:pPr>
      <w:bookmarkStart w:id="151" w:name="__RefHeading___Toc12954_2134259642"/>
      <w:bookmarkStart w:id="152" w:name="_Ref125366689"/>
      <w:bookmarkStart w:id="153" w:name="_Toc24"/>
      <w:bookmarkStart w:id="154" w:name="_Ref125362364"/>
      <w:bookmarkEnd w:id="151"/>
      <w:r>
        <w:rPr/>
        <w:t>Рассмотрение первых частей заявок / окончательных предложений (отборочная стадия)</w:t>
      </w:r>
      <w:bookmarkEnd w:id="152"/>
      <w:bookmarkEnd w:id="153"/>
      <w:bookmarkEnd w:id="154"/>
    </w:p>
    <w:p>
      <w:pPr>
        <w:pStyle w:val="Style22"/>
        <w:rPr/>
      </w:pPr>
      <w:r>
        <w:rPr/>
        <w:t>Дата окончания срока рассмотрения первых частей заявок / окончательных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spacing w:before="0" w:after="0"/>
        <w:rPr/>
      </w:pPr>
      <w:r>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tgtFrame="#Прил07_ОтборочныеКритерии">
        <w:r>
          <w:rPr>
            <w:u w:val="single"/>
          </w:rPr>
          <w:t>Отборочным критериям рассмотрения заявок (Приложение № 7)</w:t>
        </w:r>
      </w:hyperlink>
      <w:r>
        <w:rPr/>
        <w:t>.</w:t>
      </w:r>
    </w:p>
    <w:p>
      <w:pPr>
        <w:pStyle w:val="Style22"/>
        <w:spacing w:before="0" w:after="0"/>
        <w:rPr/>
      </w:pPr>
      <w:r>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2"/>
        <w:keepNext w:val="true"/>
        <w:spacing w:before="0" w:after="0"/>
        <w:rPr/>
      </w:pPr>
      <w:bookmarkStart w:id="155" w:name="_Ref125551456"/>
      <w:r>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55"/>
    </w:p>
    <w:p>
      <w:pPr>
        <w:pStyle w:val="Style23"/>
        <w:rPr/>
      </w:pPr>
      <w:r>
        <w:rPr/>
        <w:t>несоответствие первой части заявки / окончательного предложения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spacing w:before="0" w:after="0"/>
        <w:rPr/>
      </w:pPr>
      <w:r>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3"/>
        <w:rPr/>
      </w:pPr>
      <w:r>
        <w:rPr/>
        <w:t>несоответствие предлагаемой продукции требованиям Документации о закупке, в том числе порядка описания такой продукции;</w:t>
      </w:r>
    </w:p>
    <w:p>
      <w:pPr>
        <w:pStyle w:val="Style23"/>
        <w:spacing w:before="0" w:after="0"/>
        <w:rPr/>
      </w:pPr>
      <w:r>
        <w:rPr/>
        <w:t>несоответствие предлагаемых договорных условий требованиям Документации о закупке;</w:t>
      </w:r>
    </w:p>
    <w:p>
      <w:pPr>
        <w:pStyle w:val="Style23"/>
        <w:spacing w:before="0" w:after="0"/>
        <w:rPr/>
      </w:pPr>
      <w:r>
        <w:rPr/>
        <w:t>наличие в документах первой части заявки / окончательном предложении сведений об Участники и (или) о его ценовом предложении.</w:t>
      </w:r>
    </w:p>
    <w:p>
      <w:pPr>
        <w:pStyle w:val="Style22"/>
        <w:keepNext w:val="true"/>
        <w:rPr/>
      </w:pPr>
      <w:r>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rPr>
        <w:footnoteReference w:id="4"/>
      </w:r>
      <w:r>
        <w:rPr/>
        <w:t>:</w:t>
      </w:r>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spacing w:before="0" w:after="0"/>
        <w:rPr/>
      </w:pPr>
      <w:r>
        <w:rPr/>
        <w:t>идентификационные номера, присваиваемые Оператором ЭП;</w:t>
      </w:r>
    </w:p>
    <w:p>
      <w:pPr>
        <w:pStyle w:val="Style23"/>
        <w:keepNext w:val="true"/>
        <w:spacing w:before="0" w:after="0"/>
        <w:rPr/>
      </w:pPr>
      <w:r>
        <w:rPr/>
        <w:t>результаты рассмотрения первых частей заявок / окончательных предложений с указанием, в том числе:</w:t>
      </w:r>
    </w:p>
    <w:p>
      <w:pPr>
        <w:pStyle w:val="Style24"/>
        <w:rPr/>
      </w:pPr>
      <w:r>
        <w:rPr/>
        <w:t>количества заявок, которые были отклонены по результатам рассмотрения первых частей заявок / окончательных предложений;</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56" w:name="__RefHeading___Toc12956_2134259642"/>
      <w:bookmarkStart w:id="157" w:name="_Toc25"/>
      <w:bookmarkStart w:id="158" w:name="_Ref132801184"/>
      <w:bookmarkEnd w:id="156"/>
      <w:r>
        <w:rPr/>
        <w:t>Открытие доступа ко вторым частям заявок и ценовым предложениям</w:t>
      </w:r>
      <w:bookmarkEnd w:id="157"/>
      <w:bookmarkEnd w:id="158"/>
    </w:p>
    <w:p>
      <w:pPr>
        <w:pStyle w:val="Style22"/>
        <w:rPr/>
      </w:pPr>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pPr>
      <w:bookmarkStart w:id="159" w:name="__RefHeading___Toc12958_2134259642"/>
      <w:bookmarkStart w:id="160" w:name="_Toc26"/>
      <w:bookmarkStart w:id="161" w:name="_Ref132797154"/>
      <w:bookmarkEnd w:id="159"/>
      <w:r>
        <w:rPr/>
        <w:t>Рассмотрение вторых частей заявок (отборочная стадия), в том числе (при необходимости) проведение аккредитации, и ценовых предложений</w:t>
      </w:r>
      <w:bookmarkEnd w:id="160"/>
      <w:bookmarkEnd w:id="161"/>
    </w:p>
    <w:p>
      <w:pPr>
        <w:pStyle w:val="Style22"/>
        <w:rPr/>
      </w:pPr>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spacing w:before="0" w:after="0"/>
        <w:rPr/>
      </w:pPr>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tgtFrame="#Прил07_ОтборочныеКритерии">
        <w:r>
          <w:rPr>
            <w:u w:val="single"/>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2"/>
        <w:spacing w:before="0" w:after="0"/>
        <w:rPr/>
      </w:pPr>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spacing w:before="0" w:after="0"/>
        <w:rPr/>
      </w:pPr>
      <w:bookmarkStart w:id="162" w:name="_Ref224834720"/>
      <w:r>
        <w:rPr/>
        <w:t>При выявлении в рамках рассмотрения ценовых предложений наличия арифметических ошибок, в том числе:</w:t>
      </w:r>
      <w:bookmarkEnd w:id="162"/>
    </w:p>
    <w:p>
      <w:pPr>
        <w:pStyle w:val="Style23"/>
        <w:rPr/>
      </w:pPr>
      <w:r>
        <w:rPr/>
        <w:t>в результате суммирования единичных расценок;</w:t>
      </w:r>
    </w:p>
    <w:p>
      <w:pPr>
        <w:pStyle w:val="Style23"/>
        <w:spacing w:before="0" w:after="0"/>
        <w:rPr/>
      </w:pPr>
      <w:r>
        <w:rPr/>
        <w:t>в итогах умножения единичных расценок на объем продукции;</w:t>
      </w:r>
    </w:p>
    <w:p>
      <w:pPr>
        <w:pStyle w:val="Style23"/>
        <w:spacing w:before="0" w:after="0"/>
        <w:rPr/>
      </w:pPr>
      <w:r>
        <w:rPr/>
        <w:t>в вычислении суммы НДС и итоговой стоимости заявки с учетом НДС);</w:t>
      </w:r>
    </w:p>
    <w:p>
      <w:pPr>
        <w:pStyle w:val="Style23"/>
        <w:spacing w:before="0" w:after="0"/>
        <w:rPr/>
      </w:pPr>
      <w:r>
        <w:rPr/>
        <w:t>иных внутренних противоречий в составе заявки,</w:t>
      </w:r>
    </w:p>
    <w:p>
      <w:pPr>
        <w:pStyle w:val="Style26"/>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pPr>
      <w:bookmarkStart w:id="163" w:name="_Ref132793926"/>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63"/>
    </w:p>
    <w:p>
      <w:pPr>
        <w:pStyle w:val="Style23"/>
        <w:rPr/>
      </w:pPr>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spacing w:before="0" w:after="0"/>
        <w:rPr/>
      </w:pPr>
      <w:r>
        <w:rPr/>
        <w:t xml:space="preserve">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 (за исключением ошибок, предусмотренных пунктом </w:t>
      </w:r>
      <w:r>
        <w:rPr/>
        <w:fldChar w:fldCharType="begin"/>
      </w:r>
      <w:r>
        <w:rPr/>
        <w:instrText xml:space="preserve"> REF _Ref224834720 \r \h </w:instrText>
      </w:r>
      <w:r>
        <w:rPr/>
        <w:fldChar w:fldCharType="separate"/>
      </w:r>
      <w:r>
        <w:rPr/>
        <w:t>4.11.4</w:t>
      </w:r>
      <w:r>
        <w:rPr/>
        <w:fldChar w:fldCharType="end"/>
      </w:r>
      <w:r>
        <w:rPr/>
        <w:t>);</w:t>
      </w:r>
    </w:p>
    <w:p>
      <w:pPr>
        <w:pStyle w:val="Style23"/>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spacing w:before="0" w:after="0"/>
        <w:rPr/>
      </w:pPr>
      <w:r>
        <w:rPr/>
        <w:t>несоответствие Участников требованиям Документации о закупке;</w:t>
      </w:r>
    </w:p>
    <w:p>
      <w:pPr>
        <w:pStyle w:val="Style23"/>
        <w:spacing w:before="0" w:after="0"/>
        <w:rPr/>
      </w:pPr>
      <w:r>
        <w:rPr/>
        <w:t>несоответствие привлекаемых субподрядчиков (соисполнителей) требованиям Документации о закупке;</w:t>
      </w:r>
    </w:p>
    <w:p>
      <w:pPr>
        <w:pStyle w:val="Style23"/>
        <w:spacing w:before="0" w:after="0"/>
        <w:rPr/>
      </w:pPr>
      <w:r>
        <w:rPr/>
        <w:t>превышение ценового предложения над установленным размером НМЦ.</w:t>
      </w:r>
    </w:p>
    <w:p>
      <w:pPr>
        <w:pStyle w:val="Style22"/>
        <w:keepNext w:val="true"/>
        <w:rPr/>
      </w:pPr>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6"/>
      </w:r>
      <w:r>
        <w:rPr/>
        <w:t>:</w:t>
      </w:r>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spacing w:before="0" w:after="0"/>
        <w:rPr/>
      </w:pPr>
      <w:r>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3"/>
        <w:keepNext w:val="true"/>
        <w:spacing w:before="0" w:after="0"/>
        <w:rPr/>
      </w:pPr>
      <w:r>
        <w:rPr/>
        <w:t>результаты рассмотрения вторых частей заявок и ценовых предложений с указанием, в том числе:</w:t>
      </w:r>
    </w:p>
    <w:p>
      <w:pPr>
        <w:pStyle w:val="Style24"/>
        <w:rPr/>
      </w:pPr>
      <w:r>
        <w:rPr/>
        <w:t>количества заявок, которые были отклонены по результатам рассмотрения вторых частей заявок и ценовых предложений;</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64" w:name="__RefHeading___Toc12960_2134259642"/>
      <w:bookmarkStart w:id="165" w:name="_Toc27"/>
      <w:bookmarkStart w:id="166" w:name="_Ref125362610"/>
      <w:bookmarkStart w:id="167" w:name="_Ref125362464"/>
      <w:bookmarkStart w:id="168" w:name="_Ref125362425"/>
      <w:bookmarkStart w:id="169" w:name="_Ref125362381"/>
      <w:bookmarkEnd w:id="164"/>
      <w:r>
        <w:rPr/>
        <w:t>Дополнительные запросы разъяснений заявок</w:t>
      </w:r>
      <w:bookmarkEnd w:id="165"/>
      <w:bookmarkEnd w:id="166"/>
      <w:bookmarkEnd w:id="167"/>
      <w:bookmarkEnd w:id="168"/>
      <w:bookmarkEnd w:id="169"/>
    </w:p>
    <w:p>
      <w:pPr>
        <w:pStyle w:val="Style22"/>
        <w:rPr/>
      </w:pPr>
      <w:bookmarkStart w:id="170" w:name="_Ref125365611"/>
      <w:r>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0"/>
    </w:p>
    <w:p>
      <w:pPr>
        <w:pStyle w:val="Style23"/>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pPr>
      <w:r>
        <w:rPr/>
        <w:t>соответствия Участника требованиям Документации о закупке;</w:t>
      </w:r>
    </w:p>
    <w:p>
      <w:pPr>
        <w:pStyle w:val="Style24"/>
        <w:spacing w:before="0" w:after="0"/>
        <w:rPr/>
      </w:pPr>
      <w:bookmarkStart w:id="171" w:name="_Hlk132793683"/>
      <w:r>
        <w:rPr/>
        <w:t>наличия соответствующих полномочий на подписание заявки от имени Участника у лица, подписавшего заявку</w:t>
      </w:r>
      <w:bookmarkEnd w:id="171"/>
      <w:r>
        <w:rPr/>
        <w:t>;</w:t>
      </w:r>
    </w:p>
    <w:p>
      <w:pPr>
        <w:pStyle w:val="Style24"/>
        <w:spacing w:before="0" w:after="0"/>
        <w:rPr/>
      </w:pPr>
      <w:r>
        <w:rPr/>
        <w:t xml:space="preserve">соответствия заявки требованиям Документации о закупке в части характеристик предлагаемой продукции, </w:t>
      </w:r>
      <w:bookmarkStart w:id="172" w:name="_Hlk207817392"/>
      <w:r>
        <w:rPr/>
        <w:t xml:space="preserve">страны происхождения товара и (или) страны регистрации Участника (в целях исполнения требований законодательства о национальном режиме </w:t>
      </w:r>
      <w:bookmarkEnd w:id="172"/>
      <w:r>
        <w:rPr/>
        <w:t>(подраздел </w:t>
      </w:r>
      <w:r>
        <w:rPr/>
        <w:fldChar w:fldCharType="begin"/>
      </w:r>
      <w:r>
        <w:rPr/>
        <w:instrText xml:space="preserve"> REF _Ref186181253 \r \h </w:instrText>
      </w:r>
      <w:r>
        <w:rPr/>
        <w:fldChar w:fldCharType="separate"/>
      </w:r>
      <w:r>
        <w:rPr/>
        <w:t>4.14</w:t>
      </w:r>
      <w:r>
        <w:rPr/>
        <w:fldChar w:fldCharType="end"/>
      </w:r>
      <w:r>
        <w:rPr/>
        <w:t>)), договорных условий и расчета цены Договора;</w:t>
      </w:r>
    </w:p>
    <w:p>
      <w:pPr>
        <w:pStyle w:val="Style23"/>
        <w:rPr/>
      </w:pPr>
      <w:bookmarkStart w:id="173"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spacing w:before="0" w:after="0"/>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 или осуществить оценку и сопоставление заявок.</w:t>
      </w:r>
      <w:bookmarkEnd w:id="173"/>
    </w:p>
    <w:p>
      <w:pPr>
        <w:pStyle w:val="Style22"/>
        <w:rPr/>
      </w:pPr>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2"/>
        <w:spacing w:before="0" w:after="0"/>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spacing w:before="0" w:after="0"/>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spacing w:before="0" w:after="0"/>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2"/>
        <w:spacing w:before="0" w:after="0"/>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spacing w:before="0" w:after="0"/>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spacing w:before="0" w:after="0"/>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1"/>
        <w:rPr/>
      </w:pPr>
      <w:bookmarkStart w:id="174" w:name="__RefHeading___Toc12962_2134259642"/>
      <w:bookmarkStart w:id="175" w:name="_Ref125362626"/>
      <w:bookmarkStart w:id="176" w:name="_Toc28"/>
      <w:bookmarkStart w:id="177" w:name="_Ref125365519"/>
      <w:bookmarkStart w:id="178" w:name="_Ref125369308"/>
      <w:bookmarkStart w:id="179" w:name="_Ref125365335"/>
      <w:bookmarkStart w:id="180" w:name="_Ref125366534"/>
      <w:bookmarkStart w:id="181" w:name="_Ref125369041"/>
      <w:bookmarkEnd w:id="174"/>
      <w:r>
        <w:rPr/>
        <w:t>Оценка и сопоставление заявок</w:t>
      </w:r>
      <w:bookmarkEnd w:id="175"/>
      <w:bookmarkEnd w:id="176"/>
      <w:bookmarkEnd w:id="177"/>
      <w:bookmarkEnd w:id="178"/>
      <w:bookmarkEnd w:id="179"/>
      <w:bookmarkEnd w:id="180"/>
      <w:bookmarkEnd w:id="181"/>
    </w:p>
    <w:p>
      <w:pPr>
        <w:pStyle w:val="Style22"/>
        <w:rPr/>
      </w:pPr>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tgtFrame="#Прил08_ПорядокОценки">
        <w:r>
          <w:rPr>
            <w:u w:val="single"/>
          </w:rPr>
          <w:t>Порядком и критериями оценки и сопоставления заявок (Приложение № 8)</w:t>
        </w:r>
      </w:hyperlink>
      <w:r>
        <w:rPr/>
        <w:t>, с присвоением каждой заявке итогового балла.</w:t>
      </w:r>
    </w:p>
    <w:p>
      <w:pPr>
        <w:pStyle w:val="Style22"/>
        <w:spacing w:before="0" w:after="0"/>
        <w:rPr/>
      </w:pPr>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 а также если проводилась переторжка, с учетом даты и времени последнего изменения заявки на ЭП, обусловленного переторжкой)).</w:t>
      </w:r>
    </w:p>
    <w:p>
      <w:pPr>
        <w:pStyle w:val="Style22"/>
        <w:spacing w:before="0" w:after="0"/>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spacing w:before="0" w:after="0"/>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2"/>
        <w:spacing w:before="0" w:after="0"/>
        <w:rPr/>
      </w:pPr>
      <w:r>
        <w:rPr/>
        <w:t>Результаты оценки и сопоставления заявок указываются в итоговом протоколе по результатам закупки.</w:t>
      </w:r>
    </w:p>
    <w:p>
      <w:pPr>
        <w:pStyle w:val="Style21"/>
        <w:rPr/>
      </w:pPr>
      <w:bookmarkStart w:id="182" w:name="__RefHeading___Toc12964_2134259642"/>
      <w:bookmarkStart w:id="183" w:name="_Toc29"/>
      <w:bookmarkStart w:id="184" w:name="_Ref186181253"/>
      <w:bookmarkStart w:id="185" w:name="_Ref132816300"/>
      <w:bookmarkStart w:id="186" w:name="_Ref130985951"/>
      <w:bookmarkStart w:id="187" w:name="_Ref125366064"/>
      <w:bookmarkStart w:id="188" w:name="_Ref125369991"/>
      <w:bookmarkStart w:id="189" w:name="_Ref125370507"/>
      <w:bookmarkStart w:id="190" w:name="_Ref130458671"/>
      <w:bookmarkEnd w:id="182"/>
      <w:r>
        <w:rPr/>
        <w:t>Применение законодательства о национальном режиме</w:t>
      </w:r>
      <w:bookmarkEnd w:id="183"/>
      <w:bookmarkEnd w:id="184"/>
      <w:bookmarkEnd w:id="185"/>
      <w:bookmarkEnd w:id="186"/>
      <w:bookmarkEnd w:id="187"/>
      <w:bookmarkEnd w:id="188"/>
      <w:bookmarkEnd w:id="189"/>
      <w:bookmarkEnd w:id="190"/>
    </w:p>
    <w:p>
      <w:pPr>
        <w:pStyle w:val="Style22"/>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_Ref132797154 \r \h </w:instrText>
      </w:r>
      <w:r>
        <w:rPr/>
        <w:fldChar w:fldCharType="separate"/>
      </w:r>
      <w:r>
        <w:rPr/>
        <w:t>4.11</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4.11</w:t>
      </w:r>
      <w:r>
        <w:rPr/>
        <w:fldChar w:fldCharType="end"/>
      </w:r>
      <w:r>
        <w:rPr/>
        <w:t>).</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4.13</w:t>
      </w:r>
      <w:r>
        <w:rPr/>
        <w:fldChar w:fldCharType="end"/>
      </w:r>
      <w:r>
        <w:rPr/>
        <w:t>), осуществляется снижение</w:t>
      </w:r>
      <w:r>
        <w:rPr>
          <w:rStyle w:val="FootnoteReference"/>
        </w:rPr>
        <w:footnoteReference w:id="8"/>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(в том числе поставляемых при выполнении закупаемых работ, оказании закупаемых услуг)), при условии наличия допущенной заявки с иностранной продукцией (на поставку товара иностранного происхождения).</w:t>
      </w:r>
    </w:p>
    <w:p>
      <w:pPr>
        <w:pStyle w:val="Style22"/>
        <w:spacing w:before="0" w:after="0"/>
        <w:rPr/>
      </w:pPr>
      <w:bookmarkStart w:id="191" w:name="_Ref19500740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_Ref132797154 \r \h </w:instrText>
      </w:r>
      <w:r>
        <w:rPr/>
        <w:fldChar w:fldCharType="separate"/>
      </w:r>
      <w:r>
        <w:rPr/>
        <w:t>4.11</w:t>
      </w:r>
      <w:r>
        <w:rPr/>
        <w:fldChar w:fldCharType="end"/>
      </w:r>
      <w:r>
        <w:rPr/>
        <w:t>).</w:t>
      </w:r>
      <w:bookmarkEnd w:id="191"/>
    </w:p>
    <w:p>
      <w:pPr>
        <w:pStyle w:val="Style22"/>
        <w:spacing w:before="0" w:after="0"/>
        <w:rPr/>
      </w:pPr>
      <w:r>
        <w:rPr/>
        <w:t>Состав и требования к сведениям и (или) 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4.14.2 – </w:t>
      </w:r>
      <w:r>
        <w:rPr/>
        <w:fldChar w:fldCharType="begin"/>
      </w:r>
      <w:r>
        <w:rPr/>
        <w:instrText xml:space="preserve"> REF _Ref195007400 \r \h </w:instrText>
      </w:r>
      <w:r>
        <w:rPr/>
        <w:fldChar w:fldCharType="separate"/>
      </w:r>
      <w:r>
        <w:rPr/>
        <w:t>4.14.5</w:t>
      </w:r>
      <w:r>
        <w:rPr/>
        <w:fldChar w:fldCharType="end"/>
      </w:r>
      <w:r>
        <w:rPr/>
        <w:t>), установлены в Структуре НМЦ (в составе Коммерческого предложения (форма 3) (</w:t>
      </w:r>
      <w:hyperlink w:anchor="Прил04_ФормыЗаявки" w:tgtFrame="#Прил04_ФормыЗаявки">
        <w:r>
          <w:rPr>
            <w:u w:val="single"/>
          </w:rPr>
          <w:t>Приложение № 4</w:t>
        </w:r>
      </w:hyperlink>
      <w:r>
        <w:rPr/>
        <w:t>), а также в Технических требованиях (</w:t>
      </w:r>
      <w:hyperlink w:anchor="Прил01_ТехТребования" w:tgtFrame="#Прил01_ТехТребования">
        <w:r>
          <w:rPr>
            <w:u w:val="single"/>
          </w:rPr>
          <w:t>Приложение № 1</w:t>
        </w:r>
      </w:hyperlink>
      <w:r>
        <w:rPr/>
        <w:t>) при исполнении Заказчиком норм в части минимальной обязательной доли закупок товаров российского происхождения.</w:t>
      </w:r>
    </w:p>
    <w:p>
      <w:pPr>
        <w:pStyle w:val="Style22"/>
        <w:keepNext w:val="true"/>
        <w:spacing w:before="0" w:after="0"/>
        <w:rPr/>
      </w:pPr>
      <w:r>
        <w:rPr/>
        <w:t>Товар приравнивается к товарам, происходящим из иностранного государства (не являющегося государством – членом ЕАЭС), если:</w:t>
      </w:r>
    </w:p>
    <w:p>
      <w:pPr>
        <w:pStyle w:val="Style23"/>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3"/>
        <w:spacing w:before="0" w:after="0"/>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2"/>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2"/>
        <w:spacing w:before="0" w:after="0"/>
        <w:rPr/>
      </w:pPr>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pPr>
        <w:pStyle w:val="Style22"/>
        <w:spacing w:before="0" w:after="0"/>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2"/>
        <w:spacing w:before="0" w:after="0"/>
        <w:rPr/>
      </w:pPr>
      <w:bookmarkStart w:id="192" w:name="_Hlk207817767"/>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bookmarkEnd w:id="192"/>
      <w:r>
        <w:rPr/>
        <w:t>.</w:t>
      </w:r>
    </w:p>
    <w:p>
      <w:pPr>
        <w:pStyle w:val="Style21"/>
        <w:rPr/>
      </w:pPr>
      <w:bookmarkStart w:id="193" w:name="__RefHeading___Toc12966_2134259642"/>
      <w:bookmarkStart w:id="194" w:name="_Toc30"/>
      <w:bookmarkStart w:id="195" w:name="_Ref125367242"/>
      <w:bookmarkStart w:id="196" w:name="_Ref125362658"/>
      <w:bookmarkStart w:id="197" w:name="_Ref125366091"/>
      <w:bookmarkEnd w:id="193"/>
      <w:r>
        <w:rPr/>
        <w:t>Подведение итогов закупки (определение Победителя)</w:t>
      </w:r>
      <w:bookmarkEnd w:id="194"/>
      <w:bookmarkEnd w:id="195"/>
      <w:bookmarkEnd w:id="196"/>
      <w:bookmarkEnd w:id="197"/>
    </w:p>
    <w:p>
      <w:pPr>
        <w:pStyle w:val="Style22"/>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spacing w:before="0" w:after="0"/>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spacing w:before="0" w:after="0"/>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spacing w:before="0" w:after="0"/>
        <w:rPr/>
      </w:pPr>
      <w:bookmarkStart w:id="198"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9"/>
      </w:r>
      <w:r>
        <w:rPr/>
        <w:t>:</w:t>
      </w:r>
      <w:bookmarkEnd w:id="198"/>
    </w:p>
    <w:p>
      <w:pPr>
        <w:pStyle w:val="Style23"/>
        <w:rPr/>
      </w:pPr>
      <w:r>
        <w:rPr/>
        <w:t>дата подписания протокола;</w:t>
      </w:r>
    </w:p>
    <w:p>
      <w:pPr>
        <w:pStyle w:val="Style23"/>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spacing w:before="0" w:after="0"/>
        <w:rPr/>
      </w:pPr>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spacing w:before="0" w:after="0"/>
        <w:rPr/>
      </w:pPr>
      <w:r>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4"/>
        <w:rPr/>
      </w:pPr>
      <w:r>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pPr>
      <w:r>
        <w:rPr/>
        <w:t>количества заявок, которые были отклонены;</w:t>
      </w:r>
    </w:p>
    <w:p>
      <w:pPr>
        <w:pStyle w:val="Style24"/>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spacing w:before="0" w:after="0"/>
        <w:rPr/>
      </w:pPr>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3"/>
        <w:spacing w:before="0" w:after="0"/>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3"/>
        <w:spacing w:before="0" w:after="0"/>
        <w:rPr/>
      </w:pPr>
      <w:r>
        <w:rPr/>
        <w:t>причины, по которым закупка признана несостоявшейся (в случае ее признания таковой),</w:t>
      </w:r>
    </w:p>
    <w:p>
      <w:pPr>
        <w:pStyle w:val="Style26"/>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2"/>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spacing w:before="0" w:after="0"/>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spacing w:before="0" w:after="0"/>
        <w:rPr/>
      </w:pPr>
      <w:bookmarkStart w:id="199" w:name="_Hlk149314796"/>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99"/>
    </w:p>
    <w:p>
      <w:pPr>
        <w:pStyle w:val="Style21"/>
        <w:rPr/>
      </w:pPr>
      <w:bookmarkStart w:id="200" w:name="__RefHeading___Toc12968_2134259642"/>
      <w:bookmarkStart w:id="201" w:name="_Ref125364187"/>
      <w:bookmarkStart w:id="202" w:name="_Toc31"/>
      <w:bookmarkStart w:id="203" w:name="_Ref125364149"/>
      <w:bookmarkStart w:id="204" w:name="_Ref125366796"/>
      <w:bookmarkStart w:id="205" w:name="_Ref125365305"/>
      <w:bookmarkStart w:id="206" w:name="_Ref125365570"/>
      <w:bookmarkStart w:id="207" w:name="_Ref125366631"/>
      <w:bookmarkEnd w:id="200"/>
      <w:r>
        <w:rPr/>
        <w:t>Признание закупки несостоявшейся</w:t>
      </w:r>
      <w:bookmarkEnd w:id="201"/>
      <w:bookmarkEnd w:id="202"/>
      <w:bookmarkEnd w:id="203"/>
      <w:bookmarkEnd w:id="204"/>
      <w:bookmarkEnd w:id="205"/>
      <w:bookmarkEnd w:id="206"/>
      <w:bookmarkEnd w:id="207"/>
    </w:p>
    <w:p>
      <w:pPr>
        <w:pStyle w:val="Style22"/>
        <w:keepNext w:val="true"/>
        <w:rPr/>
      </w:pPr>
      <w:bookmarkStart w:id="208" w:name="_Ref214289498"/>
      <w:r>
        <w:rPr/>
        <w:t>Закупка признается несостоявшейся в следующих случаях:</w:t>
      </w:r>
      <w:bookmarkEnd w:id="208"/>
    </w:p>
    <w:p>
      <w:pPr>
        <w:pStyle w:val="Style23"/>
        <w:rPr/>
      </w:pPr>
      <w:r>
        <w:rPr/>
        <w:t>если по окончанию срока подачи заявок поступило менее 2 (двух) заявок (с учетом возможных отзывов заявок);</w:t>
      </w:r>
    </w:p>
    <w:p>
      <w:pPr>
        <w:pStyle w:val="Style23"/>
        <w:spacing w:before="0" w:after="0"/>
        <w:rPr/>
      </w:pPr>
      <w:r>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r>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3"/>
        <w:spacing w:before="0" w:after="0"/>
        <w:rPr/>
      </w:pPr>
      <w:bookmarkStart w:id="209" w:name="_Hlk219297033"/>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5.3</w:t>
      </w:r>
      <w:r>
        <w:rPr/>
        <w:fldChar w:fldCharType="end"/>
      </w:r>
      <w:bookmarkEnd w:id="209"/>
      <w:r>
        <w:rPr/>
        <w:t>).</w:t>
      </w:r>
    </w:p>
    <w:p>
      <w:pPr>
        <w:pStyle w:val="Style22"/>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spacing w:before="0" w:after="0"/>
        <w:rPr/>
      </w:pPr>
      <w:r>
        <w:rPr/>
        <w:t>В случае признания закупки несостоявшейся (с учетом условий, предусмотренных Положением о закупке):</w:t>
      </w:r>
    </w:p>
    <w:p>
      <w:pPr>
        <w:pStyle w:val="Style23"/>
        <w:rPr/>
      </w:pPr>
      <w:r>
        <w:rPr/>
        <w:t xml:space="preserve">если поступила только 1 (одна) заявка от одного Участника (с учетом отозванных Участниками заявок), либо по результатам рассмотрения заявок (частей заявок, ценовых предложений, дополнительных ценовых предложений в соответствии с пунктом </w:t>
      </w:r>
      <w:r>
        <w:rPr/>
        <w:fldChar w:fldCharType="begin"/>
      </w:r>
      <w:r>
        <w:rPr/>
        <w:instrText xml:space="preserve"> REF _Ref214289498 \r \h </w:instrText>
      </w:r>
      <w:r>
        <w:rPr/>
        <w:fldChar w:fldCharType="separate"/>
      </w:r>
      <w:r>
        <w:rPr/>
        <w:t>4.16.1</w:t>
      </w:r>
      <w:r>
        <w:rPr/>
        <w:fldChar w:fldCharType="end"/>
      </w:r>
      <w:r>
        <w:rPr/>
        <w:t>)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3"/>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6"/>
        </w:numPr>
        <w:tabs>
          <w:tab w:val="clear" w:pos="2552"/>
        </w:tabs>
        <w:ind w:left="2127" w:hanging="426"/>
        <w:rPr>
          <w:sz w:val="26"/>
          <w:szCs w:val="26"/>
        </w:rPr>
      </w:pPr>
      <w:r>
        <w:rPr>
          <w:sz w:val="26"/>
          <w:szCs w:val="26"/>
        </w:rPr>
        <w:t>повторное проведение закупки (в том числе с возможностью снятия признака закупки только среди субъектов МСП);</w:t>
      </w:r>
    </w:p>
    <w:p>
      <w:pPr>
        <w:pStyle w:val="-1"/>
        <w:numPr>
          <w:ilvl w:val="0"/>
          <w:numId w:val="16"/>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7"/>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7"/>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6"/>
        </w:numPr>
        <w:tabs>
          <w:tab w:val="clear" w:pos="2552"/>
        </w:tabs>
        <w:ind w:left="2127" w:hanging="426"/>
        <w:rPr>
          <w:sz w:val="26"/>
          <w:szCs w:val="26"/>
        </w:rPr>
      </w:pPr>
      <w:bookmarkStart w:id="210"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10"/>
    </w:p>
    <w:p>
      <w:pPr>
        <w:pStyle w:val="Style23"/>
        <w:rPr/>
      </w:pPr>
      <w:r>
        <w:rPr/>
        <w:t xml:space="preserve">если не поступило ни одной заявки, либо по результатам рассмотрения заявок (частей заявок, ценовых предложений, дополнительных ценовых предложений в соответствии с пунктом </w:t>
      </w:r>
      <w:r>
        <w:rPr/>
        <w:fldChar w:fldCharType="begin"/>
      </w:r>
      <w:r>
        <w:rPr/>
        <w:instrText xml:space="preserve"> REF _Ref214289498 \r \h </w:instrText>
      </w:r>
      <w:r>
        <w:rPr/>
        <w:fldChar w:fldCharType="separate"/>
      </w:r>
      <w:r>
        <w:rPr/>
        <w:t>4.16.1</w:t>
      </w:r>
      <w:r>
        <w:rPr/>
        <w:fldChar w:fldCharType="end"/>
      </w:r>
      <w:r>
        <w:rPr/>
        <w:t xml:space="preserve">), принято решение о признании их не соответствующими требованиям Документации о закупке, </w:t>
      </w:r>
      <w:bookmarkStart w:id="211" w:name="_Hlk219301655"/>
      <w:bookmarkStart w:id="212" w:name="_Hlk219297054"/>
      <w:r>
        <w:rPr/>
        <w:t>либо по результатам проведения закупки от заключения договора уклонились все допущенные Участники</w:t>
      </w:r>
      <w:bookmarkEnd w:id="212"/>
      <w:r>
        <w:rPr/>
        <w:t xml:space="preserve"> </w:t>
      </w:r>
      <w:bookmarkEnd w:id="211"/>
      <w:r>
        <w:rPr/>
        <w:t>– Заказчик проводит повторную закупку (</w:t>
      </w:r>
      <w:r>
        <w:rPr>
          <w:szCs w:val="26"/>
        </w:rPr>
        <w:t>в том числе с возможностью снятия признака закупки только среди субъектов МСП</w:t>
      </w:r>
      <w:r>
        <w:rPr/>
        <w:t>).</w:t>
      </w:r>
    </w:p>
    <w:p>
      <w:pPr>
        <w:pStyle w:val="Style33"/>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7"/>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7"/>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1"/>
        <w:rPr/>
      </w:pPr>
      <w:bookmarkStart w:id="213" w:name="__RefHeading___Toc12970_2134259642"/>
      <w:bookmarkStart w:id="214" w:name="_Ref132816141"/>
      <w:bookmarkStart w:id="215" w:name="_Ref132816134"/>
      <w:bookmarkStart w:id="216" w:name="_Toc32"/>
      <w:bookmarkStart w:id="217" w:name="_Ref126141962"/>
      <w:bookmarkEnd w:id="213"/>
      <w:r>
        <w:rPr/>
        <w:t>Отказ от проведения закупки</w:t>
      </w:r>
      <w:bookmarkEnd w:id="217"/>
      <w:r>
        <w:rPr/>
        <w:t xml:space="preserve"> (отмена закупки)</w:t>
      </w:r>
      <w:bookmarkEnd w:id="214"/>
      <w:bookmarkEnd w:id="215"/>
      <w:bookmarkEnd w:id="216"/>
    </w:p>
    <w:p>
      <w:pPr>
        <w:pStyle w:val="Style22"/>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spacing w:before="0" w:after="0"/>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spacing w:before="0" w:after="0"/>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pPr>
      <w:bookmarkStart w:id="218" w:name="__RefHeading___Toc12972_2134259642"/>
      <w:bookmarkStart w:id="219" w:name="_Ref130225422"/>
      <w:bookmarkStart w:id="220" w:name="_Toc33"/>
      <w:bookmarkStart w:id="221" w:name="_Ref130455226"/>
      <w:bookmarkEnd w:id="218"/>
      <w:r>
        <w:rPr/>
        <w:t>Особенности проведения закупки с необходимостью обеспечения заявки</w:t>
      </w:r>
      <w:bookmarkEnd w:id="220"/>
      <w:bookmarkEnd w:id="221"/>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2"/>
        <w:spacing w:before="0" w:after="0"/>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spacing w:before="0" w:after="0"/>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2"/>
        <w:spacing w:before="0" w:after="0"/>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0"/>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spacing w:before="0" w:after="0"/>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spacing w:before="0" w:after="0"/>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spacing w:before="0" w:after="0"/>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spacing w:before="0" w:after="0"/>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pPr>
      <w:r>
        <w:rPr/>
        <w:t>независимая гарантия должна быть безотзывной и безусловной (гарантия по первому требованию);</w:t>
      </w:r>
    </w:p>
    <w:p>
      <w:pPr>
        <w:pStyle w:val="Style23"/>
        <w:spacing w:before="0" w:after="0"/>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spacing w:before="0" w:after="0"/>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3"/>
        <w:spacing w:before="0" w:after="0"/>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spacing w:before="0" w:after="0"/>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spacing w:before="0" w:after="0"/>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spacing w:before="0" w:after="0"/>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spacing w:before="0" w:after="0"/>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3"/>
        <w:spacing w:before="0" w:after="0"/>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spacing w:before="0" w:after="0"/>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spacing w:before="0" w:after="0"/>
        <w:rPr/>
      </w:pPr>
      <w:bookmarkStart w:id="222" w:name="_Ref132716380"/>
      <w:r>
        <w:rPr/>
        <w:t>независимая гарантия должна быть выдана организацией из числа указанных в части 1 статьи 45 Закона 44-ФЗ;</w:t>
      </w:r>
      <w:bookmarkEnd w:id="222"/>
    </w:p>
    <w:p>
      <w:pPr>
        <w:pStyle w:val="Style23"/>
        <w:spacing w:before="0" w:after="0"/>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spacing w:before="0" w:after="0"/>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2"/>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spacing w:before="0" w:after="0"/>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spacing w:before="0" w:after="0"/>
        <w:rPr/>
      </w:pPr>
      <w:r>
        <w:rPr/>
        <w:t>При многолотовой закупке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spacing w:before="0" w:after="0"/>
        <w:rPr/>
      </w:pPr>
      <w:r>
        <w:rPr/>
        <w:t>Подать заявку (принять участие в закупке) могут только Участники, предоставившие надлежащее обеспечение их заявок.</w:t>
      </w:r>
    </w:p>
    <w:p>
      <w:pPr>
        <w:pStyle w:val="Style22"/>
        <w:spacing w:before="0" w:after="0"/>
        <w:rPr/>
      </w:pPr>
      <w:r>
        <w:rPr/>
        <w:t>Требование об обеспечении заявки в равной мере распространяется на всех Участников.</w:t>
      </w:r>
    </w:p>
    <w:p>
      <w:pPr>
        <w:pStyle w:val="Style22"/>
        <w:keepNext w:val="true"/>
        <w:spacing w:before="0" w:after="0"/>
        <w:rPr/>
      </w:pPr>
      <w:bookmarkStart w:id="223"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3"/>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tgtFrame="#Прил05_ФормыПобедителя">
        <w:r>
          <w:rPr>
            <w:u w:val="single"/>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3"/>
        <w:spacing w:before="0" w:after="0"/>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tgtFrame="#Прил02_ПроектДоговора">
        <w:r>
          <w:rPr>
            <w:u w:val="single"/>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tgtFrame="#Прил02_ПроектДоговора">
        <w:r>
          <w:rPr>
            <w:u w:val="single"/>
          </w:rPr>
          <w:t>Проектом договора</w:t>
        </w:r>
      </w:hyperlink>
      <w:r>
        <w:rPr/>
        <w:t>).</w:t>
      </w:r>
    </w:p>
    <w:p>
      <w:pPr>
        <w:pStyle w:val="Style22"/>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spacing w:before="0" w:after="0"/>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pPr>
      <w:r>
        <w:rPr/>
        <w:t>принятия решения об отказе от проведения закупки – всем Участникам, подавшим заявки к моменту принятия такого решения;</w:t>
      </w:r>
    </w:p>
    <w:p>
      <w:pPr>
        <w:pStyle w:val="Style23"/>
        <w:spacing w:before="0" w:after="0"/>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spacing w:before="0" w:after="0"/>
        <w:rPr/>
      </w:pPr>
      <w:r>
        <w:rPr/>
        <w:t>официального размещения итогового протокола по результатам закупки – всем Участникам, кроме Победителя;</w:t>
      </w:r>
    </w:p>
    <w:p>
      <w:pPr>
        <w:pStyle w:val="Style23"/>
        <w:spacing w:before="0" w:after="0"/>
        <w:rPr/>
      </w:pPr>
      <w:r>
        <w:rPr/>
        <w:t>заключения Договора по результатам закупки – Победителю, с которым заключен Договор;</w:t>
      </w:r>
    </w:p>
    <w:p>
      <w:pPr>
        <w:pStyle w:val="Style23"/>
        <w:spacing w:before="0" w:after="0"/>
        <w:rPr/>
      </w:pPr>
      <w:r>
        <w:rPr/>
        <w:t>признания закупки несостоявшейся – Участнику, которому обеспечение не было возвращено по иным основаниям.</w:t>
      </w:r>
    </w:p>
    <w:p>
      <w:pPr>
        <w:pStyle w:val="Style22"/>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bookmarkEnd w:id="219"/>
    </w:p>
    <w:p>
      <w:pPr>
        <w:pStyle w:val="Style20"/>
        <w:spacing w:before="0" w:after="0"/>
        <w:rPr/>
      </w:pPr>
      <w:bookmarkStart w:id="224" w:name="__RefHeading___Toc12976_2134259642"/>
      <w:bookmarkStart w:id="225" w:name="_Ref125362671"/>
      <w:bookmarkStart w:id="226" w:name="_Ref126142429"/>
      <w:bookmarkStart w:id="227" w:name="_Ref125367087"/>
      <w:bookmarkStart w:id="228" w:name="_Ref125367083"/>
      <w:bookmarkStart w:id="229" w:name="_Ref125366769"/>
      <w:bookmarkStart w:id="230" w:name="_Ref130224037"/>
      <w:bookmarkStart w:id="231" w:name="_Ref125361212"/>
      <w:bookmarkStart w:id="232" w:name="_Toc34"/>
      <w:bookmarkStart w:id="233" w:name="_Ref125363439"/>
      <w:bookmarkEnd w:id="224"/>
      <w:r>
        <w:rPr/>
        <w:t>Порядок заключения Договора</w:t>
      </w:r>
      <w:bookmarkEnd w:id="225"/>
      <w:bookmarkEnd w:id="226"/>
      <w:bookmarkEnd w:id="227"/>
      <w:bookmarkEnd w:id="228"/>
      <w:bookmarkEnd w:id="229"/>
      <w:bookmarkEnd w:id="230"/>
      <w:bookmarkEnd w:id="231"/>
      <w:bookmarkEnd w:id="232"/>
      <w:bookmarkEnd w:id="233"/>
    </w:p>
    <w:p>
      <w:pPr>
        <w:pStyle w:val="Style21"/>
        <w:rPr/>
      </w:pPr>
      <w:bookmarkStart w:id="234" w:name="__RefHeading___Toc12978_2134259642"/>
      <w:bookmarkStart w:id="235" w:name="_Toc35"/>
      <w:bookmarkEnd w:id="234"/>
      <w:r>
        <w:rPr/>
        <w:t>Общие положения</w:t>
      </w:r>
      <w:bookmarkEnd w:id="235"/>
    </w:p>
    <w:p>
      <w:pPr>
        <w:pStyle w:val="Style22"/>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pPr>
      <w:bookmarkStart w:id="236" w:name="__RefHeading___Toc12980_2134259642"/>
      <w:bookmarkStart w:id="237" w:name="_Toc36"/>
      <w:bookmarkStart w:id="238" w:name="_Ref138341423"/>
      <w:bookmarkStart w:id="239" w:name="_Ref125366947"/>
      <w:bookmarkStart w:id="240" w:name="_Ref125368755"/>
      <w:bookmarkEnd w:id="236"/>
      <w:r>
        <w:rPr/>
        <w:t>Заключение Договора</w:t>
      </w:r>
      <w:bookmarkEnd w:id="237"/>
      <w:bookmarkEnd w:id="238"/>
      <w:bookmarkEnd w:id="239"/>
      <w:bookmarkEnd w:id="240"/>
    </w:p>
    <w:p>
      <w:pPr>
        <w:pStyle w:val="Style22"/>
        <w:rPr/>
      </w:pPr>
      <w:bookmarkStart w:id="241" w:name="_Ref125362935"/>
      <w:bookmarkStart w:id="242"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41"/>
      <w:bookmarkEnd w:id="242"/>
    </w:p>
    <w:p>
      <w:pPr>
        <w:pStyle w:val="Style22"/>
        <w:spacing w:before="0" w:after="0"/>
        <w:rPr/>
      </w:pPr>
      <w:r>
        <w:rPr/>
        <w:t>Договор не может быть заключен, если это запрещено законодательством о национальном режиме .</w:t>
      </w:r>
    </w:p>
    <w:p>
      <w:pPr>
        <w:pStyle w:val="Style22"/>
        <w:spacing w:before="0" w:after="0"/>
        <w:rPr/>
      </w:pPr>
      <w:bookmarkStart w:id="243" w:name="_Ref125363464"/>
      <w:bookmarkStart w:id="244" w:name="_Hlk207818000"/>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2"/>
        <w:spacing w:before="0" w:after="0"/>
        <w:rPr/>
      </w:pPr>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tgtFrame="#Прил05_ФормыПобедителя">
        <w:r>
          <w:rPr>
            <w:u w:val="single"/>
          </w:rPr>
          <w:t>Приложением № 5</w:t>
        </w:r>
      </w:hyperlink>
      <w:r>
        <w:rPr/>
        <w:t>, с приложением подтверждающих документов согласно перечню, установленному в Приложении 1 к указанной справке, 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44"/>
      <w:r>
        <w:rPr/>
        <w:t>.</w:t>
      </w:r>
      <w:bookmarkEnd w:id="243"/>
    </w:p>
    <w:p>
      <w:pPr>
        <w:pStyle w:val="Style22"/>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bookmarkStart w:id="245" w:name="_Hlk207818034"/>
      <w:r>
        <w:rPr/>
        <w:t>Portable Document Format (</w:t>
      </w:r>
      <w:r>
        <w:rPr>
          <w:lang w:val="en-US"/>
        </w:rPr>
        <w:t>pdf</w:t>
      </w:r>
      <w:r>
        <w:rPr/>
        <w:t>)</w:t>
      </w:r>
      <w:bookmarkEnd w:id="245"/>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u w:val="single"/>
          </w:rPr>
          <w:t>Приложением № 5</w:t>
        </w:r>
      </w:hyperlink>
      <w:r>
        <w:rPr/>
        <w:t>.</w:t>
      </w:r>
    </w:p>
    <w:p>
      <w:pPr>
        <w:pStyle w:val="Style22"/>
        <w:keepNext w:val="true"/>
        <w:spacing w:before="0" w:after="0"/>
        <w:rPr/>
      </w:pPr>
      <w:bookmarkStart w:id="246"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tgtFrame="#Прил03_ТребованияУчастникам">
        <w:r>
          <w:rPr>
            <w:u w:val="single"/>
          </w:rPr>
          <w:t>Приложение № 3</w:t>
        </w:r>
      </w:hyperlink>
      <w:r>
        <w:rPr/>
        <w:t>), следующие документы (скан-копии в формате Portable Document Format (</w:t>
      </w:r>
      <w:r>
        <w:rPr>
          <w:lang w:val="en-US"/>
        </w:rPr>
        <w:t>pdf</w:t>
      </w:r>
      <w:r>
        <w:rPr/>
        <w:t>)):</w:t>
      </w:r>
      <w:bookmarkEnd w:id="246"/>
    </w:p>
    <w:p>
      <w:pPr>
        <w:pStyle w:val="Style23"/>
        <w:keepNext w:val="true"/>
        <w:rPr/>
      </w:pPr>
      <w:r>
        <w:rPr/>
        <w:t>для юридического лица:</w:t>
      </w:r>
    </w:p>
    <w:p>
      <w:pPr>
        <w:pStyle w:val="Style24"/>
        <w:rPr/>
      </w:pPr>
      <w:r>
        <w:rPr/>
        <w:t>копия устава в действующей редакции с отметкой ИФНС либо копия нотариально заверенного устава (с отметкой нотариуса);</w:t>
      </w:r>
    </w:p>
    <w:p>
      <w:pPr>
        <w:pStyle w:val="Style24"/>
        <w:spacing w:before="0" w:after="0"/>
        <w:rPr/>
      </w:pPr>
      <w:bookmarkStart w:id="247"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47"/>
    </w:p>
    <w:p>
      <w:pPr>
        <w:pStyle w:val="Style24"/>
        <w:spacing w:before="0" w:after="0"/>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spacing w:before="0" w:after="0"/>
        <w:rPr/>
      </w:pPr>
      <w:r>
        <w:rPr/>
        <w:t>для физического лица: нотариально заверенная копия всех страниц документа, удостоверяющего личность (паспорта)</w:t>
      </w:r>
      <w:bookmarkStart w:id="248" w:name="_Ref125361554"/>
      <w:r>
        <w:rPr/>
        <w:t>.</w:t>
      </w:r>
      <w:bookmarkEnd w:id="248"/>
    </w:p>
    <w:p>
      <w:pPr>
        <w:pStyle w:val="Style22"/>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spacing w:before="0" w:after="0"/>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spacing w:before="0" w:after="0"/>
        <w:rPr/>
      </w:pPr>
      <w:bookmarkStart w:id="249"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49"/>
    </w:p>
    <w:p>
      <w:pPr>
        <w:pStyle w:val="Style23"/>
        <w:rPr/>
      </w:pPr>
      <w:r>
        <w:rPr/>
        <w:t>итоговый протокол по результатам закупки;</w:t>
      </w:r>
    </w:p>
    <w:p>
      <w:pPr>
        <w:pStyle w:val="Style23"/>
        <w:spacing w:before="0" w:after="0"/>
        <w:rPr/>
      </w:pPr>
      <w:r>
        <w:rPr/>
        <w:t>Извещение и Документация о закупке со всеми изменениями;</w:t>
      </w:r>
    </w:p>
    <w:p>
      <w:pPr>
        <w:pStyle w:val="Style23"/>
        <w:spacing w:before="0" w:after="0"/>
        <w:rPr/>
      </w:pPr>
      <w:r>
        <w:rPr/>
        <w:t>заявка Победителя со всеми дополнениями и разъяснениями.</w:t>
      </w:r>
    </w:p>
    <w:p>
      <w:pPr>
        <w:pStyle w:val="Style22"/>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spacing w:before="0" w:after="0"/>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spacing w:before="0" w:after="0"/>
        <w:rPr/>
      </w:pPr>
      <w:bookmarkStart w:id="250"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50"/>
    </w:p>
    <w:p>
      <w:pPr>
        <w:pStyle w:val="Style22"/>
        <w:spacing w:before="0" w:after="0"/>
        <w:rPr/>
      </w:pPr>
      <w:bookmarkStart w:id="251"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52"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52"/>
      <w:r>
        <w:rPr/>
        <w:t>.</w:t>
      </w:r>
      <w:bookmarkEnd w:id="251"/>
    </w:p>
    <w:p>
      <w:pPr>
        <w:pStyle w:val="Style22"/>
        <w:spacing w:before="0" w:after="0"/>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pPr>
      <w:bookmarkStart w:id="253" w:name="__RefHeading___Toc12982_2134259642"/>
      <w:bookmarkStart w:id="254" w:name="_Toc37"/>
      <w:bookmarkStart w:id="255" w:name="_Ref125367068"/>
      <w:bookmarkEnd w:id="253"/>
      <w:r>
        <w:rPr/>
        <w:t>Уклонение Победителя от заключения Договора</w:t>
      </w:r>
      <w:bookmarkEnd w:id="254"/>
      <w:bookmarkEnd w:id="255"/>
    </w:p>
    <w:p>
      <w:pPr>
        <w:pStyle w:val="Style22"/>
        <w:keepNext w:val="true"/>
        <w:rPr/>
      </w:pPr>
      <w:r>
        <w:rPr/>
        <w:t>Если Победитель закупки:</w:t>
      </w:r>
    </w:p>
    <w:p>
      <w:pPr>
        <w:pStyle w:val="Style23"/>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3"/>
        <w:spacing w:before="0" w:after="0"/>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3"/>
        <w:spacing w:before="0" w:after="0"/>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tgtFrame="#Прил05_ФормыПобедителя">
        <w:r>
          <w:rPr>
            <w:u w:val="single"/>
          </w:rPr>
          <w:t>Приложение № 5</w:t>
        </w:r>
      </w:hyperlink>
      <w:r>
        <w:rPr/>
        <w:t>), с приложением подтверждающих документов;</w:t>
      </w:r>
    </w:p>
    <w:p>
      <w:pPr>
        <w:pStyle w:val="Style23"/>
        <w:spacing w:before="0" w:after="0"/>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u w:val="single"/>
          </w:rPr>
          <w:t>Приложением № 5</w:t>
        </w:r>
      </w:hyperlink>
      <w:r>
        <w:rPr/>
        <w:t>;</w:t>
      </w:r>
    </w:p>
    <w:p>
      <w:pPr>
        <w:pStyle w:val="Style23"/>
        <w:spacing w:before="0" w:after="0"/>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tgtFrame="#Прил01_ТехТребования">
        <w:r>
          <w:rPr>
            <w:u w:val="single"/>
          </w:rPr>
          <w:t>Приложения № 1 – Технические требования</w:t>
        </w:r>
      </w:hyperlink>
      <w:r>
        <w:rPr/>
        <w:t xml:space="preserve"> (в случае установления таковых);</w:t>
      </w:r>
    </w:p>
    <w:p>
      <w:pPr>
        <w:pStyle w:val="Style23"/>
        <w:spacing w:before="0" w:after="0"/>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spacing w:before="0" w:after="0"/>
        <w:rPr/>
      </w:pPr>
      <w:r>
        <w:rPr/>
        <w:t>не выполнит другие условия, прямо предусмотренные Документацией о закупке,</w:t>
      </w:r>
    </w:p>
    <w:p>
      <w:pPr>
        <w:pStyle w:val="Style26"/>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spacing w:before="0" w:after="0"/>
        <w:rPr/>
      </w:pPr>
      <w:bookmarkStart w:id="256" w:name="__RefHeading___Toc12984_2134259642"/>
      <w:bookmarkStart w:id="257" w:name="_Ref125370750"/>
      <w:bookmarkStart w:id="258" w:name="_Ref125370732"/>
      <w:bookmarkStart w:id="259" w:name="Прил01_ТехТребования"/>
      <w:bookmarkStart w:id="260" w:name="_Ref125370843"/>
      <w:bookmarkStart w:id="261" w:name="_Ref125370746"/>
      <w:bookmarkStart w:id="262" w:name="_Ref125370741"/>
      <w:bookmarkStart w:id="263" w:name="_Ref125364201"/>
      <w:bookmarkStart w:id="264" w:name="_Ref125364088"/>
      <w:bookmarkStart w:id="265" w:name="_Ref125363752"/>
      <w:bookmarkStart w:id="266" w:name="_Ref125363034"/>
      <w:bookmarkStart w:id="267" w:name="_Toc38"/>
      <w:bookmarkStart w:id="268" w:name="_Ref125363600"/>
      <w:bookmarkStart w:id="269" w:name="_Ref125363023"/>
      <w:bookmarkStart w:id="270" w:name="_Ref125363016"/>
      <w:bookmarkEnd w:id="256"/>
      <w:r>
        <w:rPr/>
        <w:t>Приложение № 1 – Технические требования</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Style21"/>
        <w:rPr/>
      </w:pPr>
      <w:bookmarkStart w:id="271" w:name="__RefHeading___Toc12986_2134259642"/>
      <w:bookmarkStart w:id="272" w:name="_Toc39"/>
      <w:bookmarkEnd w:id="271"/>
      <w:r>
        <w:rPr/>
        <w:t>Пояснения к Техническим требованиям</w:t>
      </w:r>
      <w:bookmarkEnd w:id="272"/>
    </w:p>
    <w:p>
      <w:pPr>
        <w:pStyle w:val="Style22"/>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spacing w:before="0" w:after="0"/>
        <w:rPr/>
      </w:pPr>
      <w:bookmarkStart w:id="273" w:name="__RefHeading___Toc12988_2134259642"/>
      <w:bookmarkStart w:id="274" w:name="_Ref125363759"/>
      <w:bookmarkStart w:id="275" w:name="_Ref125364081"/>
      <w:bookmarkStart w:id="276" w:name="_Ref125363040"/>
      <w:bookmarkStart w:id="277" w:name="_Ref125364206"/>
      <w:bookmarkStart w:id="278" w:name="Прил02_ПроектДоговора"/>
      <w:bookmarkStart w:id="279" w:name="_Toc40"/>
      <w:bookmarkStart w:id="280" w:name="_Ref125363605"/>
      <w:bookmarkStart w:id="281" w:name="_Ref125370754"/>
      <w:bookmarkStart w:id="282" w:name="_Ref125361746"/>
      <w:bookmarkEnd w:id="273"/>
      <w:r>
        <w:rPr/>
        <w:t>Приложение № 2 – Проект договора</w:t>
      </w:r>
      <w:bookmarkEnd w:id="274"/>
      <w:bookmarkEnd w:id="275"/>
      <w:bookmarkEnd w:id="276"/>
      <w:bookmarkEnd w:id="277"/>
      <w:bookmarkEnd w:id="278"/>
      <w:bookmarkEnd w:id="279"/>
      <w:bookmarkEnd w:id="280"/>
      <w:bookmarkEnd w:id="281"/>
      <w:bookmarkEnd w:id="282"/>
    </w:p>
    <w:p>
      <w:pPr>
        <w:pStyle w:val="Style21"/>
        <w:rPr/>
      </w:pPr>
      <w:bookmarkStart w:id="283" w:name="__RefHeading___Toc12990_2134259642"/>
      <w:bookmarkStart w:id="284" w:name="_Toc41"/>
      <w:bookmarkEnd w:id="283"/>
      <w:r>
        <w:rPr/>
        <w:t>Пояснения к Проекту договора</w:t>
      </w:r>
      <w:bookmarkEnd w:id="284"/>
    </w:p>
    <w:p>
      <w:pPr>
        <w:pStyle w:val="Style22"/>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spacing w:before="0" w:after="0"/>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2"/>
        <w:spacing w:before="0" w:after="0"/>
        <w:rPr/>
      </w:pPr>
      <w:r>
        <w:rPr/>
        <w:t>В соответствии с пунктом </w:t>
      </w:r>
      <w:r>
        <w:rPr/>
        <w:fldChar w:fldCharType="begin"/>
      </w:r>
      <w:r>
        <w:rPr/>
        <w:instrText xml:space="preserve"> REF _Ref49437111 \r \h </w:instrText>
      </w:r>
      <w:r>
        <w:rPr/>
        <w:fldChar w:fldCharType="separate"/>
      </w:r>
      <w:r>
        <w:rPr/>
        <w:t>5.2.12</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spacing w:before="0" w:after="0"/>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p>
    <w:p>
      <w:pPr>
        <w:sectPr>
          <w:headerReference w:type="default" r:id="rId10"/>
          <w:headerReference w:type="first" r:id="rId11"/>
          <w:footerReference w:type="default" r:id="rId12"/>
          <w:footerReference w:type="first" r:id="rId13"/>
          <w:footnotePr>
            <w:numFmt w:val="decimal"/>
          </w:footnotePr>
          <w:type w:val="nextPage"/>
          <w:pgSz w:w="11906" w:h="16838"/>
          <w:pgMar w:left="1134" w:right="567" w:gutter="0" w:header="567" w:top="851" w:footer="567" w:bottom="851"/>
          <w:pgNumType w:fmt="decimal"/>
          <w:formProt w:val="false"/>
          <w:textDirection w:val="lrTb"/>
          <w:docGrid w:type="default" w:linePitch="360" w:charSpace="0"/>
        </w:sectPr>
        <w:pStyle w:val="Style22"/>
        <w:numPr>
          <w:ilvl w:val="0"/>
          <w:numId w:val="0"/>
        </w:numPr>
        <w:spacing w:before="0" w:after="0"/>
        <w:ind w:left="1134" w:hanging="0"/>
        <w:rPr/>
      </w:pPr>
      <w:r>
        <w:rPr/>
        <w:t xml:space="preserve">                                                   </w:t>
      </w:r>
      <w:r>
        <w:rPr/>
        <w:object>
          <v:shapetype id="_x0000_tole_rId8" coordsize="21600,21600" o:spt="ole_rId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type="_x0000_tole_rId8" style="width:78.1pt;height:49.6pt;mso-wrap-distance-right:0pt" filled="f" o:ole="">
            <v:imagedata r:id="rId9" o:title=""/>
          </v:shape>
          <o:OLEObject Type="Embed" ProgID="Word.Document.12" ShapeID="ole_rId8" DrawAspect="Icon" ObjectID="_69968007" r:id="rId8"/>
        </w:object>
      </w:r>
      <w:bookmarkStart w:id="285" w:name="_GoBack"/>
      <w:bookmarkStart w:id="286" w:name="_MON_1736255517_Копия_1"/>
      <w:bookmarkStart w:id="287" w:name="_MON_1736255517"/>
      <w:bookmarkEnd w:id="286"/>
      <w:bookmarkEnd w:id="287"/>
    </w:p>
    <w:p>
      <w:pPr>
        <w:pStyle w:val="Style20"/>
        <w:spacing w:before="0" w:after="0"/>
        <w:rPr/>
      </w:pPr>
      <w:bookmarkStart w:id="288" w:name="__RefHeading___Toc12992_2134259642"/>
      <w:bookmarkStart w:id="289" w:name="_Ref125370013"/>
      <w:bookmarkStart w:id="290" w:name="_Ref125361908"/>
      <w:bookmarkStart w:id="291" w:name="_Ref125365476"/>
      <w:bookmarkStart w:id="292" w:name="_Ref125361494"/>
      <w:bookmarkStart w:id="293" w:name="Прил03_ТребованияУчастникам"/>
      <w:bookmarkStart w:id="294" w:name="_Toc42"/>
      <w:bookmarkEnd w:id="285"/>
      <w:bookmarkEnd w:id="288"/>
      <w:r>
        <w:rPr/>
        <w:t>Приложение № 3 – Требования к Участникам</w:t>
      </w:r>
      <w:bookmarkEnd w:id="289"/>
      <w:bookmarkEnd w:id="290"/>
      <w:bookmarkEnd w:id="291"/>
      <w:bookmarkEnd w:id="292"/>
      <w:bookmarkEnd w:id="293"/>
      <w:bookmarkEnd w:id="294"/>
    </w:p>
    <w:p>
      <w:pPr>
        <w:pStyle w:val="Style21"/>
        <w:rPr/>
      </w:pPr>
      <w:bookmarkStart w:id="295" w:name="__RefHeading___Toc12994_2134259642"/>
      <w:bookmarkStart w:id="296" w:name="_Toc43"/>
      <w:bookmarkEnd w:id="295"/>
      <w:r>
        <w:rPr/>
        <w:t>Пояснения к требованиям к Участникам</w:t>
      </w:r>
      <w:bookmarkEnd w:id="296"/>
    </w:p>
    <w:p>
      <w:pPr>
        <w:pStyle w:val="Style22"/>
        <w:rPr/>
      </w:pPr>
      <w:bookmarkStart w:id="297" w:name="_Hlk125628168"/>
      <w:r>
        <w:rPr/>
        <w:t>Чтобы претендовать на победу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97"/>
    </w:p>
    <w:p>
      <w:pPr>
        <w:pStyle w:val="Style21"/>
        <w:spacing w:before="360" w:after="120"/>
        <w:rPr/>
      </w:pPr>
      <w:bookmarkStart w:id="298" w:name="__RefHeading___Toc12996_2134259642"/>
      <w:bookmarkStart w:id="299" w:name="_Ref125366879"/>
      <w:bookmarkStart w:id="300" w:name="_Ref125370058"/>
      <w:bookmarkStart w:id="301" w:name="_Ref125369088"/>
      <w:bookmarkStart w:id="302" w:name="_Ref125368895"/>
      <w:bookmarkStart w:id="303" w:name="_Ref125368812"/>
      <w:bookmarkStart w:id="304" w:name="_Ref125361435"/>
      <w:bookmarkStart w:id="305" w:name="_Ref125370071"/>
      <w:bookmarkStart w:id="306" w:name="_Ref125361617"/>
      <w:bookmarkStart w:id="307" w:name="_Ref125361590"/>
      <w:bookmarkStart w:id="308" w:name="_Toc44"/>
      <w:bookmarkStart w:id="309" w:name="_Ref125361832"/>
      <w:bookmarkStart w:id="310" w:name="_Ref125361926"/>
      <w:bookmarkStart w:id="311" w:name="_Ref125361846"/>
      <w:bookmarkStart w:id="312" w:name="_Ref125370064"/>
      <w:bookmarkEnd w:id="298"/>
      <w:r>
        <w:rPr/>
        <w:t>Обязательные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6943"/>
        <w:gridCol w:w="7939"/>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694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Участнику</w:t>
            </w:r>
          </w:p>
        </w:tc>
        <w:tc>
          <w:tcPr>
            <w:tcW w:w="7939"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3" w:name="_Ref125552433"/>
            <w:bookmarkStart w:id="314" w:name="_Ref125552433"/>
            <w:bookmarkEnd w:id="314"/>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7939" w:type="dxa"/>
            <w:tcBorders/>
          </w:tcPr>
          <w:p>
            <w:pPr>
              <w:pStyle w:val="Style26"/>
              <w:widowControl w:val="false"/>
              <w:numPr>
                <w:ilvl w:val="0"/>
                <w:numId w:val="13"/>
              </w:numPr>
              <w:suppressAutoHyphens w:val="true"/>
              <w:spacing w:before="60" w:after="60"/>
              <w:ind w:left="284" w:hanging="284"/>
              <w:rPr>
                <w:rFonts w:eastAsia="Calibri" w:cs="Arial"/>
              </w:rPr>
            </w:pPr>
            <w:r>
              <w:rPr>
                <w:rFonts w:eastAsia="Calibri" w:cs="Arial"/>
                <w:kern w:val="0"/>
                <w:sz w:val="26"/>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eastAsia="Calibri" w:cs="Arial"/>
              </w:rPr>
            </w:pPr>
            <w:r>
              <w:rPr>
                <w:rFonts w:eastAsia="Calibri" w:cs="Arial"/>
                <w:kern w:val="0"/>
                <w:sz w:val="26"/>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Fonts w:eastAsia="Calibri" w:cs="Arial"/>
                  <w:kern w:val="0"/>
                  <w:sz w:val="26"/>
                  <w:szCs w:val="22"/>
                  <w:u w:val="single"/>
                  <w:lang w:val="ru-RU" w:eastAsia="en-US" w:bidi="ar-SA"/>
                </w:rPr>
                <w:t>Приложение № 10</w:t>
              </w:r>
            </w:hyperlink>
            <w:r>
              <w:rPr>
                <w:rFonts w:eastAsia="Calibri" w:cs="Arial"/>
                <w:kern w:val="0"/>
                <w:sz w:val="26"/>
                <w:szCs w:val="22"/>
                <w:lang w:val="ru-RU" w:eastAsia="en-US" w:bidi="ar-SA"/>
              </w:rPr>
              <w:t>);</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numPr>
                <w:ilvl w:val="0"/>
                <w:numId w:val="14"/>
              </w:numPr>
              <w:suppressAutoHyphens w:val="true"/>
              <w:spacing w:before="60" w:after="60"/>
              <w:ind w:left="568" w:hanging="284"/>
              <w:rPr>
                <w:rFonts w:eastAsia="Calibri" w:cs="Arial"/>
              </w:rPr>
            </w:pPr>
            <w:r>
              <w:rPr>
                <w:rFonts w:eastAsia="Calibri" w:cs="Arial"/>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Fonts w:eastAsia="Calibri" w:cs="Arial"/>
                  <w:kern w:val="0"/>
                  <w:sz w:val="26"/>
                  <w:szCs w:val="22"/>
                  <w:u w:val="single"/>
                  <w:lang w:val="ru-RU" w:eastAsia="en-US" w:bidi="ar-SA"/>
                </w:rPr>
                <w:t>Приложение № 10</w:t>
              </w:r>
            </w:hyperlink>
            <w:r>
              <w:rPr>
                <w:rFonts w:eastAsia="Calibri" w:cs="Arial"/>
                <w:kern w:val="0"/>
                <w:sz w:val="26"/>
                <w:szCs w:val="22"/>
                <w:lang w:val="ru-RU" w:eastAsia="en-US" w:bidi="ar-SA"/>
              </w:rPr>
              <w:t>).</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w:t>
            </w:r>
            <w:r>
              <w:rPr>
                <w:rFonts w:eastAsia="Calibri" w:cs="Arial"/>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w:t>
            </w:r>
            <w:r>
              <w:rPr>
                <w:rFonts w:eastAsia="Calibri" w:cs="Arial"/>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tgtFrame="#Прил11_Данные_бухотчетность">
              <w:r>
                <w:rPr>
                  <w:rStyle w:val="Hyperlink"/>
                  <w:rFonts w:eastAsia="Calibri" w:cs="Arial"/>
                  <w:kern w:val="0"/>
                  <w:sz w:val="26"/>
                  <w:szCs w:val="22"/>
                  <w:lang w:val="ru-RU" w:eastAsia="en-US" w:bidi="ar-SA"/>
                </w:rPr>
                <w:t>Приложении № 11</w:t>
              </w:r>
            </w:hyperlink>
            <w:r>
              <w:rPr>
                <w:rFonts w:eastAsia="Calibri" w:cs="Arial"/>
                <w:kern w:val="0"/>
                <w:sz w:val="26"/>
                <w:szCs w:val="22"/>
                <w:lang w:val="ru-RU" w:eastAsia="en-US" w:bidi="ar-SA"/>
              </w:rPr>
              <w:t>).</w:t>
            </w:r>
          </w:p>
          <w:p>
            <w:pPr>
              <w:pStyle w:val="Style26"/>
              <w:widowControl w:val="false"/>
              <w:suppressAutoHyphens w:val="true"/>
              <w:spacing w:before="60" w:after="60"/>
              <w:ind w:left="284" w:hanging="0"/>
              <w:rPr>
                <w:rFonts w:eastAsia="Calibri" w:cs="Arial"/>
              </w:rPr>
            </w:pPr>
            <w:r>
              <w:rPr>
                <w:rFonts w:eastAsia="Calibri" w:cs="Arial"/>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5" w:name="_Ref132893662"/>
            <w:bookmarkStart w:id="316" w:name="_Ref132893662"/>
            <w:bookmarkEnd w:id="316"/>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rFonts w:eastAsia="Calibri" w:cs="Arial"/>
              </w:rPr>
            </w:pPr>
            <w:r>
              <w:rPr>
                <w:rFonts w:eastAsia="Calibri" w:cs="Arial"/>
              </w:rPr>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7" w:name="_Ref139029906"/>
            <w:bookmarkStart w:id="318" w:name="_Ref139029906"/>
            <w:bookmarkEnd w:id="318"/>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Arial"/>
                <w:kern w:val="0"/>
                <w:sz w:val="26"/>
                <w:szCs w:val="22"/>
                <w:lang w:val="ru-RU" w:eastAsia="en-US" w:bidi="ar-SA"/>
              </w:rPr>
              <w:footnoteReference w:id="11"/>
            </w:r>
            <w:r>
              <w:rPr>
                <w:rFonts w:eastAsia="Calibri" w:cs="Arial"/>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Arial"/>
                <w:kern w:val="0"/>
                <w:sz w:val="26"/>
                <w:szCs w:val="22"/>
                <w:lang w:val="ru-RU" w:eastAsia="en-US" w:bidi="ar-SA"/>
              </w:rPr>
              <w:footnoteReference w:id="12"/>
            </w:r>
            <w:r>
              <w:rPr>
                <w:rFonts w:eastAsia="Calibri" w:cs="Arial"/>
                <w:kern w:val="0"/>
                <w:sz w:val="26"/>
                <w:szCs w:val="22"/>
                <w:lang w:val="ru-RU" w:eastAsia="en-US" w:bidi="ar-SA"/>
              </w:rPr>
              <w:t>:</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19" w:name="_Ref186181914"/>
            <w:bookmarkStart w:id="320" w:name="_Ref186181914"/>
            <w:bookmarkEnd w:id="320"/>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623" w:type="dxa"/>
            <w:tcBorders/>
          </w:tcPr>
          <w:p>
            <w:pPr>
              <w:pStyle w:val="Style26"/>
              <w:widowControl w:val="false"/>
              <w:numPr>
                <w:ilvl w:val="0"/>
                <w:numId w:val="2"/>
              </w:numPr>
              <w:suppressAutoHyphens w:val="true"/>
              <w:spacing w:before="60" w:after="60"/>
              <w:ind w:left="284" w:hanging="0"/>
              <w:jc w:val="center"/>
              <w:rPr>
                <w:rFonts w:eastAsia="Calibri" w:cs="Arial"/>
              </w:rPr>
            </w:pPr>
            <w:r>
              <w:rPr>
                <w:rFonts w:eastAsia="Calibri" w:cs="Arial"/>
              </w:rPr>
            </w:r>
            <w:bookmarkStart w:id="321" w:name="_Ref186181918"/>
            <w:bookmarkStart w:id="322" w:name="_Ref186181918"/>
            <w:bookmarkEnd w:id="322"/>
          </w:p>
        </w:tc>
        <w:tc>
          <w:tcPr>
            <w:tcW w:w="6943"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7939"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1"/>
        <w:spacing w:before="360" w:after="120"/>
        <w:rPr/>
      </w:pPr>
      <w:bookmarkStart w:id="323" w:name="__RefHeading___Toc12998_2134259642"/>
      <w:bookmarkStart w:id="324" w:name="_Ref125369099"/>
      <w:bookmarkStart w:id="325" w:name="_Ref125709401"/>
      <w:bookmarkStart w:id="326" w:name="_Ref125709250"/>
      <w:bookmarkStart w:id="327" w:name="_Ref125709153"/>
      <w:bookmarkStart w:id="328" w:name="_Ref125370079"/>
      <w:bookmarkStart w:id="329" w:name="_Ref125368818"/>
      <w:bookmarkStart w:id="330" w:name="_Ref125368916"/>
      <w:bookmarkStart w:id="331" w:name="_Ref125368901"/>
      <w:bookmarkStart w:id="332" w:name="_Ref125709888"/>
      <w:bookmarkStart w:id="333" w:name="_Ref125367521"/>
      <w:bookmarkStart w:id="334" w:name="_Ref125367539"/>
      <w:bookmarkStart w:id="335" w:name="_Ref125361442"/>
      <w:bookmarkStart w:id="336" w:name="_Toc45"/>
      <w:bookmarkStart w:id="337" w:name="_Ref125361869"/>
      <w:bookmarkStart w:id="338" w:name="_Ref125361671"/>
      <w:bookmarkStart w:id="339" w:name="_Ref125361633"/>
      <w:bookmarkStart w:id="340" w:name="_Ref125361937"/>
      <w:bookmarkStart w:id="341" w:name="_Ref125365459"/>
      <w:bookmarkEnd w:id="323"/>
      <w:r>
        <w:rPr/>
        <w:t>Специальные требования</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7819"/>
        <w:gridCol w:w="7063"/>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7819"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Участнику</w:t>
            </w:r>
          </w:p>
        </w:tc>
        <w:tc>
          <w:tcPr>
            <w:tcW w:w="706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623" w:type="dxa"/>
            <w:tcBorders/>
          </w:tcPr>
          <w:p>
            <w:pPr>
              <w:pStyle w:val="Style26"/>
              <w:widowControl w:val="false"/>
              <w:numPr>
                <w:ilvl w:val="0"/>
                <w:numId w:val="3"/>
              </w:numPr>
              <w:suppressAutoHyphens w:val="true"/>
              <w:spacing w:before="60" w:after="60"/>
              <w:ind w:left="284" w:hanging="0"/>
              <w:jc w:val="center"/>
              <w:rPr>
                <w:rFonts w:eastAsia="Calibri" w:cs="Arial"/>
              </w:rPr>
            </w:pPr>
            <w:r>
              <w:rPr>
                <w:rFonts w:eastAsia="Calibri" w:cs="Arial"/>
              </w:rPr>
            </w:r>
          </w:p>
        </w:tc>
        <w:tc>
          <w:tcPr>
            <w:tcW w:w="7819" w:type="dxa"/>
            <w:tcBorders/>
          </w:tcPr>
          <w:p>
            <w:pPr>
              <w:pStyle w:val="Normal"/>
              <w:widowControl w:val="false"/>
              <w:suppressAutoHyphens w:val="true"/>
              <w:spacing w:before="120" w:after="60"/>
              <w:jc w:val="both"/>
              <w:rPr>
                <w:i w:val="false"/>
                <w:i w:val="false"/>
                <w:iCs w:val="false"/>
              </w:rPr>
            </w:pPr>
            <w:r>
              <w:rPr>
                <w:rFonts w:eastAsia="Times New Roman" w:cs="Times New Roman"/>
                <w:bCs/>
                <w:i w:val="false"/>
                <w:iCs w:val="false"/>
                <w:kern w:val="0"/>
                <w:sz w:val="26"/>
                <w:szCs w:val="22"/>
                <w:highlight w:val="white"/>
                <w:lang w:val="ru-RU" w:eastAsia="en-US" w:bidi="ar-SA"/>
              </w:rPr>
              <w:t>Специальные требования не установлены.</w:t>
            </w:r>
          </w:p>
        </w:tc>
        <w:tc>
          <w:tcPr>
            <w:tcW w:w="7063" w:type="dxa"/>
            <w:tcBorders/>
          </w:tcPr>
          <w:p>
            <w:pPr>
              <w:pStyle w:val="Normal"/>
              <w:widowControl w:val="false"/>
              <w:suppressAutoHyphens w:val="true"/>
              <w:spacing w:before="120" w:after="60"/>
              <w:jc w:val="both"/>
              <w:rPr>
                <w:rFonts w:cs="Times New Roman"/>
                <w:bCs/>
                <w:i w:val="false"/>
                <w:i w:val="false"/>
                <w:iCs w:val="false"/>
                <w:color w:val="000000" w:themeColor="text1"/>
              </w:rPr>
            </w:pPr>
            <w:r>
              <w:rPr>
                <w:rFonts w:eastAsia="Times New Roman" w:cs="Times New Roman"/>
                <w:bCs/>
                <w:i w:val="false"/>
                <w:iCs w:val="false"/>
                <w:color w:val="000000" w:themeColor="text1"/>
                <w:kern w:val="0"/>
                <w:sz w:val="26"/>
                <w:szCs w:val="22"/>
                <w:highlight w:val="white"/>
                <w:lang w:val="ru-RU" w:eastAsia="en-US" w:bidi="ar-SA"/>
              </w:rPr>
              <w:t>Специальные требования не установлены.</w:t>
            </w:r>
          </w:p>
        </w:tc>
      </w:tr>
    </w:tbl>
    <w:p>
      <w:pPr>
        <w:pStyle w:val="Style21"/>
        <w:spacing w:before="360" w:after="120"/>
        <w:rPr/>
      </w:pPr>
      <w:bookmarkStart w:id="342" w:name="__RefHeading___Toc13000_2134259642"/>
      <w:bookmarkStart w:id="343" w:name="_Ref125361823"/>
      <w:bookmarkStart w:id="344" w:name="_Toc46"/>
      <w:bookmarkStart w:id="345" w:name="_Ref125369117"/>
      <w:bookmarkStart w:id="346" w:name="_Ref125362031"/>
      <w:bookmarkStart w:id="347" w:name="_Ref125370180"/>
      <w:bookmarkStart w:id="348" w:name="_Ref125370173"/>
      <w:bookmarkStart w:id="349" w:name="_Ref125709973"/>
      <w:bookmarkStart w:id="350" w:name="_Ref125709777"/>
      <w:bookmarkStart w:id="351" w:name="_Ref125370209"/>
      <w:bookmarkEnd w:id="342"/>
      <w:r>
        <w:rPr/>
        <w:t>Дополнительные требования к Генеральным подрядчикам</w:t>
      </w:r>
      <w:bookmarkEnd w:id="343"/>
      <w:bookmarkEnd w:id="344"/>
      <w:bookmarkEnd w:id="345"/>
      <w:bookmarkEnd w:id="346"/>
      <w:bookmarkEnd w:id="347"/>
      <w:bookmarkEnd w:id="348"/>
      <w:bookmarkEnd w:id="349"/>
      <w:bookmarkEnd w:id="350"/>
      <w:bookmarkEnd w:id="351"/>
    </w:p>
    <w:tbl>
      <w:tblPr>
        <w:tblStyle w:val="1442"/>
        <w:tblW w:w="1550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23"/>
        <w:gridCol w:w="7796"/>
        <w:gridCol w:w="7086"/>
      </w:tblGrid>
      <w:tr>
        <w:trPr/>
        <w:tc>
          <w:tcPr>
            <w:tcW w:w="623"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7796"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Генеральному подрядчику</w:t>
            </w:r>
          </w:p>
        </w:tc>
        <w:tc>
          <w:tcPr>
            <w:tcW w:w="7086" w:type="dxa"/>
            <w:tcBorders/>
          </w:tcPr>
          <w:p>
            <w:pPr>
              <w:pStyle w:val="Style26"/>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2" w:name="_Ref125370187"/>
            <w:bookmarkStart w:id="353" w:name="_Ref125370187"/>
            <w:bookmarkEnd w:id="353"/>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Техническое предложение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содержащие План распределения объемов поставки продукции;</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4" w:name="_Ref125370193"/>
            <w:bookmarkStart w:id="355" w:name="_Ref125370193"/>
            <w:bookmarkEnd w:id="355"/>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каждого субподрядчика установленным требованиям (с учетом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_Ref125368863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Сведения и документы, аналогичные установленным в подразделах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_Ref125361442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623" w:type="dxa"/>
            <w:tcBorders/>
          </w:tcPr>
          <w:p>
            <w:pPr>
              <w:pStyle w:val="Style26"/>
              <w:widowControl w:val="false"/>
              <w:numPr>
                <w:ilvl w:val="0"/>
                <w:numId w:val="4"/>
              </w:numPr>
              <w:suppressAutoHyphens w:val="true"/>
              <w:spacing w:before="60" w:after="60"/>
              <w:ind w:left="284" w:hanging="0"/>
              <w:jc w:val="center"/>
              <w:rPr>
                <w:rFonts w:eastAsia="Calibri" w:cs="Arial"/>
              </w:rPr>
            </w:pPr>
            <w:r>
              <w:rPr>
                <w:rFonts w:eastAsia="Calibri" w:cs="Arial"/>
              </w:rPr>
            </w:r>
            <w:bookmarkStart w:id="356" w:name="_Ref125553847"/>
            <w:bookmarkStart w:id="357" w:name="_Ref125553847"/>
            <w:bookmarkEnd w:id="357"/>
          </w:p>
        </w:tc>
        <w:tc>
          <w:tcPr>
            <w:tcW w:w="779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Дополнительные требования не установлены.</w:t>
            </w:r>
          </w:p>
        </w:tc>
        <w:tc>
          <w:tcPr>
            <w:tcW w:w="7086"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Дополнительные требования не установлены.</w:t>
            </w:r>
          </w:p>
        </w:tc>
      </w:tr>
    </w:tbl>
    <w:p>
      <w:pPr>
        <w:sectPr>
          <w:headerReference w:type="default" r:id="rId14"/>
          <w:headerReference w:type="first" r:id="rId15"/>
          <w:footerReference w:type="default" r:id="rId16"/>
          <w:footerReference w:type="first" r:id="rId17"/>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Pr>
    </w:p>
    <w:p>
      <w:pPr>
        <w:pStyle w:val="Style20"/>
        <w:spacing w:before="0" w:after="0"/>
        <w:rPr/>
      </w:pPr>
      <w:bookmarkStart w:id="358" w:name="__RefHeading___Toc13002_2134259642"/>
      <w:bookmarkStart w:id="359" w:name="_Toc47"/>
      <w:bookmarkStart w:id="360" w:name="Прил04_ФормыЗаявки"/>
      <w:bookmarkEnd w:id="358"/>
      <w:bookmarkEnd w:id="360"/>
      <w:r>
        <w:rPr/>
        <w:t>Приложение № 4 – Образцы форм документов, включаемых в состав заявки</w:t>
      </w:r>
      <w:bookmarkEnd w:id="359"/>
    </w:p>
    <w:p>
      <w:pPr>
        <w:pStyle w:val="Style21"/>
        <w:rPr/>
      </w:pPr>
      <w:bookmarkStart w:id="361" w:name="__RefHeading___Toc13004_2134259642"/>
      <w:bookmarkStart w:id="362" w:name="_Toc48"/>
      <w:bookmarkEnd w:id="361"/>
      <w:r>
        <w:rPr/>
        <w:t>Пояснения к Образцам форм документов, включаемых в состав заявки</w:t>
      </w:r>
      <w:bookmarkEnd w:id="362"/>
    </w:p>
    <w:p>
      <w:pPr>
        <w:pStyle w:val="Style22"/>
        <w:rPr/>
      </w:pPr>
      <w:r>
        <w:rPr/>
        <w:t xml:space="preserve">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w:t>
      </w:r>
      <w:bookmarkStart w:id="363" w:name="_Hlk207818315"/>
      <w:r>
        <w:rPr/>
        <w:t>Участник при подготовке заявки обязан придерживаться установленных форм документов</w:t>
      </w:r>
      <w:bookmarkEnd w:id="363"/>
      <w:r>
        <w:rPr/>
        <w:t>.</w:t>
      </w:r>
    </w:p>
    <w:p>
      <w:pPr>
        <w:pStyle w:val="Style20"/>
        <w:spacing w:before="0" w:after="0"/>
        <w:rPr/>
      </w:pPr>
      <w:bookmarkStart w:id="364" w:name="__RefHeading___Toc13006_2134259642"/>
      <w:bookmarkStart w:id="365" w:name="Прил05_ФормыПобедителя"/>
      <w:bookmarkStart w:id="366" w:name="_Toc49"/>
      <w:bookmarkEnd w:id="364"/>
      <w:bookmarkEnd w:id="365"/>
      <w:r>
        <w:rPr/>
        <w:t>Приложение № 5 – Образцы форм документов, предоставляемых Победителем</w:t>
      </w:r>
      <w:bookmarkEnd w:id="366"/>
    </w:p>
    <w:p>
      <w:pPr>
        <w:pStyle w:val="Style21"/>
        <w:rPr/>
      </w:pPr>
      <w:bookmarkStart w:id="367" w:name="__RefHeading___Toc13008_2134259642"/>
      <w:bookmarkStart w:id="368" w:name="_Toc50"/>
      <w:bookmarkEnd w:id="367"/>
      <w:r>
        <w:rPr/>
        <w:t>Пояснения к Образцам форм документов, предоставляемых Победителем</w:t>
      </w:r>
      <w:bookmarkEnd w:id="368"/>
    </w:p>
    <w:p>
      <w:pPr>
        <w:pStyle w:val="Style22"/>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1"/>
        <w:rPr/>
      </w:pPr>
      <w:bookmarkStart w:id="369" w:name="__RefHeading___Toc13010_2134259642"/>
      <w:bookmarkStart w:id="370" w:name="_Toc51"/>
      <w:bookmarkStart w:id="371" w:name="_Ref130395470"/>
      <w:bookmarkEnd w:id="369"/>
      <w:r>
        <w:rPr/>
        <w:t>Форма справки «Сведения о цепочке собственников, включая бенефициаров (в том числе конечных)»</w:t>
      </w:r>
      <w:bookmarkEnd w:id="370"/>
      <w:bookmarkEnd w:id="371"/>
    </w:p>
    <w:p>
      <w:pPr>
        <w:pStyle w:val="Style22"/>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spacing w:before="0" w:after="0"/>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p>
    <w:p>
      <w:pPr>
        <w:pStyle w:val="Style22"/>
        <w:numPr>
          <w:ilvl w:val="0"/>
          <w:numId w:val="0"/>
        </w:numPr>
        <w:spacing w:before="0" w:after="0"/>
        <w:ind w:left="1134" w:hanging="0"/>
        <w:rPr/>
      </w:pPr>
      <w:r>
        <w:rPr/>
        <w:t xml:space="preserve">                                                               </w:t>
      </w:r>
      <w:r>
        <w:rPr/>
        <w:object>
          <v:shapetype id="_x0000_tole_rId18" coordsize="21600,21600" o:spt="ole_rId1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8" type="_x0000_tole_rId18" style="width:78.1pt;height:49.6pt;mso-wrap-distance-right:0pt" filled="f" o:ole="">
            <v:imagedata r:id="rId19" o:title=""/>
          </v:shape>
          <o:OLEObject Type="Embed" ProgID="Word.Document.12" ShapeID="ole_rId18" DrawAspect="Icon" ObjectID="_64956481" r:id="rId18"/>
        </w:object>
      </w:r>
    </w:p>
    <w:p>
      <w:pPr>
        <w:pStyle w:val="Style21"/>
        <w:rPr/>
      </w:pPr>
      <w:bookmarkStart w:id="372" w:name="__RefHeading___Toc13012_2134259642"/>
      <w:bookmarkStart w:id="373" w:name="_Toc52"/>
      <w:bookmarkStart w:id="374" w:name="_Ref130395475"/>
      <w:bookmarkStart w:id="375" w:name="_Hlk207818329"/>
      <w:bookmarkEnd w:id="372"/>
      <w:bookmarkEnd w:id="375"/>
      <w:r>
        <w:rPr/>
        <w:t>Форма «Заверение об обстоятельствах»</w:t>
      </w:r>
      <w:bookmarkEnd w:id="373"/>
      <w:bookmarkEnd w:id="374"/>
    </w:p>
    <w:p>
      <w:pPr>
        <w:pStyle w:val="Style22"/>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2"/>
        <w:spacing w:before="0" w:after="0"/>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spacing w:before="0" w:after="0"/>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spacing w:before="0" w:after="0"/>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 xml:space="preserve">: </w:t>
      </w:r>
    </w:p>
    <w:p>
      <w:pPr>
        <w:pStyle w:val="Style22"/>
        <w:numPr>
          <w:ilvl w:val="0"/>
          <w:numId w:val="0"/>
        </w:numPr>
        <w:spacing w:before="0" w:after="0"/>
        <w:ind w:left="1134" w:hanging="0"/>
        <w:rPr/>
      </w:pPr>
      <w:r>
        <w:rPr/>
        <w:t xml:space="preserve">                                              </w:t>
      </w:r>
      <w:r>
        <w:rPr/>
        <w:object>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78.1pt;height:49.6pt;mso-wrap-distance-right:0pt" filled="f" o:ole="">
            <v:imagedata r:id="rId21" o:title=""/>
          </v:shape>
          <o:OLEObject Type="Embed" ProgID="Word.Document.12" ShapeID="ole_rId20" DrawAspect="Icon" ObjectID="_109294938" r:id="rId20"/>
        </w:object>
      </w:r>
    </w:p>
    <w:p>
      <w:pPr>
        <w:pStyle w:val="Style26"/>
        <w:spacing w:before="120" w:after="120"/>
        <w:jc w:val="center"/>
        <w:rPr/>
      </w:pPr>
      <w:r>
        <w:rPr/>
      </w:r>
      <w:bookmarkStart w:id="376" w:name="_MON_1741074184_Копия_1"/>
      <w:bookmarkStart w:id="377" w:name="_MON_1741074184"/>
      <w:bookmarkStart w:id="378" w:name="_MON_1741074184_Копия_1"/>
      <w:bookmarkStart w:id="379" w:name="_MON_1741074184"/>
      <w:bookmarkEnd w:id="378"/>
      <w:bookmarkEnd w:id="379"/>
    </w:p>
    <w:p>
      <w:pPr>
        <w:pStyle w:val="Style20"/>
        <w:spacing w:before="0" w:after="0"/>
        <w:rPr/>
      </w:pPr>
      <w:bookmarkStart w:id="380" w:name="__RefHeading___Toc13014_2134259642"/>
      <w:bookmarkStart w:id="381" w:name="_Ref125362865"/>
      <w:bookmarkStart w:id="382" w:name="_Ref125362900"/>
      <w:bookmarkStart w:id="383" w:name="_Toc53"/>
      <w:bookmarkStart w:id="384" w:name="Прил06_СоставЗаявки"/>
      <w:bookmarkEnd w:id="380"/>
      <w:bookmarkEnd w:id="384"/>
      <w:r>
        <w:rPr/>
        <w:t>Приложение № 6 – Состав заявки</w:t>
      </w:r>
      <w:bookmarkEnd w:id="381"/>
      <w:bookmarkEnd w:id="382"/>
      <w:bookmarkEnd w:id="383"/>
    </w:p>
    <w:p>
      <w:pPr>
        <w:pStyle w:val="Style21"/>
        <w:rPr/>
      </w:pPr>
      <w:bookmarkStart w:id="385" w:name="__RefHeading___Toc13016_2134259642"/>
      <w:bookmarkStart w:id="386" w:name="_Toc54"/>
      <w:bookmarkEnd w:id="385"/>
      <w:r>
        <w:rPr/>
        <w:t>Состав заявки</w:t>
      </w:r>
      <w:bookmarkEnd w:id="386"/>
    </w:p>
    <w:p>
      <w:pPr>
        <w:pStyle w:val="Style22"/>
        <w:spacing w:before="120" w:after="120"/>
        <w:rPr/>
      </w:pPr>
      <w:r>
        <w:rPr/>
        <w:t>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w:t>
      </w:r>
      <w:bookmarkStart w:id="387" w:name="_Hlk207818365"/>
      <w:r>
        <w:rPr/>
        <w:t>по установленным формам и в соответствии с инструкциями, приведенными</w:t>
      </w:r>
      <w:bookmarkEnd w:id="387"/>
      <w:r>
        <w:rPr/>
        <w:t xml:space="preserve"> в </w:t>
      </w:r>
      <w:hyperlink w:anchor="Прил04_ФормыЗаявки" w:tgtFrame="#Прил04_ФормыЗаявки">
        <w:r>
          <w:rPr>
            <w:u w:val="single"/>
          </w:rPr>
          <w:t>Приложении № 4</w:t>
        </w:r>
      </w:hyperlink>
      <w:r>
        <w:rPr/>
        <w:t>):</w:t>
      </w:r>
    </w:p>
    <w:tbl>
      <w:tblPr>
        <w:tblStyle w:val="1442"/>
        <w:tblW w:w="8783" w:type="dxa"/>
        <w:jc w:val="left"/>
        <w:tblInd w:w="1128"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tc>
          <w:tcPr>
            <w:tcW w:w="70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8075"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Arial"/>
                <w:i/>
                <w:iCs/>
                <w:kern w:val="0"/>
                <w:sz w:val="26"/>
                <w:szCs w:val="22"/>
                <w:lang w:val="ru-RU" w:eastAsia="en-US" w:bidi="ar-SA"/>
              </w:rPr>
              <w:t>(без указания сведений, позволяющих каким-либо образом идентифицировать генерального подрядчика или привлекаемого им субподрядчика / соисполнителя)</w:t>
            </w:r>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Arial"/>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Arial"/>
                <w:kern w:val="0"/>
                <w:sz w:val="26"/>
                <w:szCs w:val="22"/>
                <w:lang w:val="ru-RU"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Вторая часть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Письмо о подаче оферты (форма 2);</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Анкета Участника (форма 5);</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_Ref125361702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а именно:</w:t>
            </w:r>
          </w:p>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прочие документы, определенные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Приложения № 3</w:t>
              </w:r>
            </w:hyperlink>
            <w:r>
              <w:rPr>
                <w:rFonts w:eastAsia="Calibri" w:cs="Arial"/>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88" w:name="_Ref132888537"/>
            <w:bookmarkStart w:id="389" w:name="_Ref132888537"/>
            <w:bookmarkEnd w:id="389"/>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0" w:name="_Ref130389408"/>
            <w:bookmarkStart w:id="391" w:name="_Ref130389408"/>
            <w:bookmarkEnd w:id="391"/>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об опыте Участника (форма 6),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2" w:name="_Ref130389413"/>
            <w:bookmarkStart w:id="393" w:name="_Ref130389413"/>
            <w:bookmarkEnd w:id="393"/>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 материально-технических ресурсах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bookmarkStart w:id="394" w:name="_Ref130389419"/>
            <w:bookmarkStart w:id="395" w:name="_Ref130389419"/>
            <w:bookmarkEnd w:id="395"/>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 кадровых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tgtFrame="#Прил08_ПорядокОценки">
              <w:r>
                <w:rPr>
                  <w:rFonts w:eastAsia="Calibri" w:cs="Arial"/>
                  <w:kern w:val="0"/>
                  <w:sz w:val="26"/>
                  <w:szCs w:val="22"/>
                  <w:u w:val="single"/>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 предоставляются, если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Ценовое предложение: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cs="Arial"/>
              </w:rPr>
            </w:pPr>
            <w:r>
              <w:rPr>
                <w:rFonts w:eastAsia="Calibri" w:cs="Arial"/>
              </w:rPr>
            </w:r>
          </w:p>
        </w:tc>
        <w:tc>
          <w:tcPr>
            <w:tcW w:w="8075"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tgtFrame="#Прил01_ТехТребования">
              <w:r>
                <w:rPr>
                  <w:rFonts w:eastAsia="Calibri" w:cs="Arial"/>
                  <w:kern w:val="0"/>
                  <w:sz w:val="26"/>
                  <w:szCs w:val="22"/>
                  <w:u w:val="single"/>
                  <w:lang w:val="ru-RU" w:eastAsia="en-US" w:bidi="ar-SA"/>
                </w:rPr>
                <w:t>Техническими требованиями (Приложение № 1)</w:t>
              </w:r>
            </w:hyperlink>
            <w:r>
              <w:rPr>
                <w:rFonts w:eastAsia="Calibri" w:cs="Arial"/>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2"/>
          <w:headerReference w:type="first" r:id="rId23"/>
          <w:footerReference w:type="default" r:id="rId24"/>
          <w:footerReference w:type="first" r:id="rId2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spacing w:before="0" w:after="0"/>
        <w:rPr/>
      </w:pPr>
      <w:bookmarkStart w:id="396" w:name="__RefHeading___Toc13018_2134259642"/>
      <w:bookmarkStart w:id="397" w:name="_Toc55"/>
      <w:bookmarkStart w:id="398" w:name="_Ref125365264"/>
      <w:bookmarkStart w:id="399" w:name="Прил07_ОтборочныеКритерии"/>
      <w:bookmarkEnd w:id="396"/>
      <w:bookmarkEnd w:id="399"/>
      <w:r>
        <w:rPr>
          <w:rStyle w:val="Style8"/>
          <w:i w:val="false"/>
          <w:iCs w:val="false"/>
          <w:shd w:fill="auto" w:val="clear"/>
        </w:rPr>
        <w:t>Приложение №</w:t>
      </w:r>
      <w:r>
        <w:rPr/>
        <w:t> 7 – Отборочные критерии рассмотрения заявок</w:t>
      </w:r>
      <w:bookmarkEnd w:id="397"/>
      <w:bookmarkEnd w:id="398"/>
    </w:p>
    <w:p>
      <w:pPr>
        <w:pStyle w:val="Style21"/>
        <w:spacing w:before="360" w:after="120"/>
        <w:rPr>
          <w:rStyle w:val="Style8"/>
          <w:i w:val="false"/>
          <w:i w:val="false"/>
          <w:iCs w:val="false"/>
          <w:shd w:fill="auto" w:val="clear"/>
        </w:rPr>
      </w:pPr>
      <w:bookmarkStart w:id="400" w:name="__RefHeading___Toc13020_2134259642"/>
      <w:bookmarkStart w:id="401" w:name="_Toc56"/>
      <w:bookmarkEnd w:id="400"/>
      <w:r>
        <w:rPr>
          <w:rStyle w:val="Style8"/>
          <w:i w:val="false"/>
          <w:iCs w:val="false"/>
          <w:shd w:fill="auto" w:val="clear"/>
        </w:rPr>
        <w:t>Отборочные критерии рассмотрения первых частей заявок (первых частей заявок, содержащихся в окончательных предложениях)</w:t>
      </w:r>
      <w:bookmarkEnd w:id="401"/>
    </w:p>
    <w:tbl>
      <w:tblPr>
        <w:tblStyle w:val="1442"/>
        <w:tblW w:w="1522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9640"/>
        <w:gridCol w:w="2408"/>
        <w:gridCol w:w="1843"/>
      </w:tblGrid>
      <w:tr>
        <w:trPr>
          <w:trHeight w:val="465" w:hRule="atLeast"/>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964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240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84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и правильность оформления первой части заявки,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правильность их оформления (в т.ч. в части языка заявки)</w:t>
            </w:r>
          </w:p>
        </w:tc>
        <w:tc>
          <w:tcPr>
            <w:tcW w:w="2408"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Fonts w:eastAsia="Calibri" w:cs="Arial"/>
                  <w:b/>
                  <w:bCs/>
                  <w:kern w:val="0"/>
                  <w:sz w:val="26"/>
                  <w:szCs w:val="22"/>
                  <w:u w:val="single"/>
                  <w:lang w:val="ru-RU" w:eastAsia="en-US" w:bidi="ar-SA"/>
                </w:rPr>
                <w:t>Техническим требованиям (Приложение № 1)</w:t>
              </w:r>
            </w:hyperlink>
            <w:r>
              <w:rPr>
                <w:rFonts w:eastAsia="Calibri" w:cs="Arial"/>
                <w:b/>
                <w:bCs/>
                <w:kern w:val="0"/>
                <w:sz w:val="26"/>
                <w:szCs w:val="22"/>
                <w:lang w:val="ru-RU" w:eastAsia="en-US" w:bidi="ar-SA"/>
              </w:rPr>
              <w:t>, в том числе:</w:t>
            </w:r>
          </w:p>
        </w:tc>
        <w:tc>
          <w:tcPr>
            <w:tcW w:w="2408"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Fonts w:eastAsia="Calibri" w:cs="Arial"/>
                  <w:kern w:val="0"/>
                  <w:sz w:val="26"/>
                  <w:szCs w:val="22"/>
                  <w:u w:val="single"/>
                  <w:lang w:val="ru-RU" w:eastAsia="en-US" w:bidi="ar-SA"/>
                </w:rPr>
                <w:t>Проекте договора (Приложение № 2)</w:t>
              </w:r>
            </w:hyperlink>
            <w:r>
              <w:rPr>
                <w:rFonts w:eastAsia="Calibri" w:cs="Arial"/>
                <w:kern w:val="0"/>
                <w:sz w:val="26"/>
                <w:szCs w:val="22"/>
                <w:lang w:val="ru-RU" w:eastAsia="en-US" w:bidi="ar-SA"/>
              </w:rPr>
              <w:t>, или согласие с ними в Письме о подаче оферты</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Fonts w:eastAsia="Calibri" w:cs="Arial"/>
                  <w:kern w:val="0"/>
                  <w:sz w:val="26"/>
                  <w:szCs w:val="22"/>
                  <w:u w:val="single"/>
                  <w:lang w:val="ru-RU" w:eastAsia="en-US" w:bidi="ar-SA"/>
                </w:rPr>
                <w:t>Приложение № 2</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Fonts w:eastAsia="Calibri" w:cs="Arial"/>
                  <w:kern w:val="0"/>
                  <w:sz w:val="26"/>
                  <w:szCs w:val="22"/>
                  <w:u w:val="single"/>
                  <w:lang w:val="ru-RU" w:eastAsia="en-US" w:bidi="ar-SA"/>
                </w:rPr>
                <w:t>Проекте договора (Приложение № 2)</w:t>
              </w:r>
            </w:hyperlink>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Fonts w:eastAsia="Calibri" w:cs="Arial"/>
                  <w:kern w:val="0"/>
                  <w:sz w:val="26"/>
                  <w:szCs w:val="22"/>
                  <w:u w:val="single"/>
                  <w:lang w:val="ru-RU" w:eastAsia="en-US" w:bidi="ar-SA"/>
                </w:rPr>
                <w:t>Приложение № 2</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6"/>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с предоставлением требуемых подтверждающих документов / сведений</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02" w:name="__RefHeading___Toc13022_2134259642"/>
      <w:bookmarkStart w:id="403" w:name="_Toc57"/>
      <w:bookmarkStart w:id="404" w:name="_Hlk132891087"/>
      <w:bookmarkEnd w:id="402"/>
      <w:r>
        <w:rPr>
          <w:rStyle w:val="Style8"/>
          <w:i w:val="false"/>
          <w:iCs w:val="false"/>
          <w:shd w:fill="auto" w:val="clear"/>
        </w:rPr>
        <w:t>Отборочные критерии рассмотрения вторых частей заявок</w:t>
      </w:r>
      <w:bookmarkEnd w:id="403"/>
      <w:bookmarkEnd w:id="404"/>
    </w:p>
    <w:tbl>
      <w:tblPr>
        <w:tblStyle w:val="1442"/>
        <w:tblW w:w="1522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9640"/>
        <w:gridCol w:w="2408"/>
        <w:gridCol w:w="1843"/>
      </w:tblGrid>
      <w:tr>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964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2408"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84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и правильность оформления второй части заявки,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правильность их оформления (в т.ч. в части наличия должных печатей (при наличии), подписей, формы заверения, языка и валюты заявки)</w:t>
            </w:r>
          </w:p>
        </w:tc>
        <w:tc>
          <w:tcPr>
            <w:tcW w:w="2408"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br/>
              <w:t>Юр</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bookmarkStart w:id="405" w:name="_Ref132890414"/>
            <w:bookmarkStart w:id="406" w:name="_Ref132890414"/>
            <w:bookmarkEnd w:id="406"/>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_Ref130455226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4.18</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 в части наличия сведений в реестре,</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Фин – в части соответствия</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br/>
              <w:t>Юр</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Письма о подаче оферты:</w:t>
            </w:r>
          </w:p>
        </w:tc>
        <w:tc>
          <w:tcPr>
            <w:tcW w:w="2408" w:type="dxa"/>
            <w:tcBorders/>
          </w:tcPr>
          <w:p>
            <w:pPr>
              <w:pStyle w:val="Style26"/>
              <w:keepNext w:val="true"/>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4_ФормыЗаявки" w:tgtFrame="#Прил04_ФормыЗаявки">
              <w:r>
                <w:rPr>
                  <w:rFonts w:eastAsia="Calibri" w:cs="Arial"/>
                  <w:kern w:val="0"/>
                  <w:sz w:val="26"/>
                  <w:szCs w:val="22"/>
                  <w:u w:val="single"/>
                  <w:lang w:val="ru-RU" w:eastAsia="en-US" w:bidi="ar-SA"/>
                </w:rPr>
                <w:t>Приложение № 4</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Участника установленным требованиям Документации о закупке, в том числе:</w:t>
            </w:r>
          </w:p>
        </w:tc>
        <w:tc>
          <w:tcPr>
            <w:tcW w:w="2408"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_Ref125552433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_Ref138341423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5.2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Юр</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_Ref132893662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3 обязательных требований к Участникам</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_Ref186181914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_Ref132816300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_Ref186181253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_Ref186181918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_Ref132816300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_Ref186181253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_Ref125361442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i/>
                <w:i/>
                <w:iCs/>
              </w:rPr>
            </w:pPr>
            <w:r>
              <w:rPr>
                <w:rFonts w:eastAsia="Calibri" w:cs="Arial"/>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_Ref125359973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1.2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_Ref125361702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3.2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и заявка подана от его лица)</w:t>
            </w:r>
          </w:p>
        </w:tc>
        <w:tc>
          <w:tcPr>
            <w:tcW w:w="2408" w:type="dxa"/>
            <w:tcBorders/>
          </w:tcPr>
          <w:p>
            <w:pPr>
              <w:pStyle w:val="Style26"/>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1"/>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в части требований пунктов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_Ref125370187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_Ref125553847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w:t>
            </w:r>
            <w:r>
              <w:rPr>
                <w:sz w:val="26"/>
                <w:kern w:val="0"/>
                <w:szCs w:val="22"/>
                <w:rFonts w:eastAsia="Calibri" w:cs="Arial"/>
                <w:lang w:val="ru-RU" w:eastAsia="en-US" w:bidi="ar-SA"/>
              </w:rPr>
              <w:fldChar w:fldCharType="end"/>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1"/>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numPr>
                <w:ilvl w:val="0"/>
                <w:numId w:val="7"/>
              </w:numPr>
              <w:suppressAutoHyphens w:val="true"/>
              <w:spacing w:before="60" w:after="60"/>
              <w:ind w:left="284" w:hanging="284"/>
              <w:rPr>
                <w:rFonts w:eastAsia="Calibri" w:cs="Arial"/>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_Ref125370193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Fonts w:eastAsia="Calibri" w:cs="Arial"/>
                  <w:kern w:val="0"/>
                  <w:sz w:val="26"/>
                  <w:szCs w:val="22"/>
                  <w:u w:val="single"/>
                  <w:lang w:val="ru-RU" w:eastAsia="en-US" w:bidi="ar-SA"/>
                </w:rPr>
                <w:t>Приложение № 3</w:t>
              </w:r>
            </w:hyperlink>
            <w:r>
              <w:rPr>
                <w:rFonts w:eastAsia="Calibri" w:cs="Arial"/>
                <w:kern w:val="0"/>
                <w:sz w:val="26"/>
                <w:szCs w:val="22"/>
                <w:lang w:val="ru-RU" w:eastAsia="en-US" w:bidi="ar-SA"/>
              </w:rPr>
              <w:t>)</w:t>
            </w:r>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Орг, Тех</w:t>
            </w:r>
          </w:p>
        </w:tc>
      </w:tr>
      <w:tr>
        <w:trPr/>
        <w:tc>
          <w:tcPr>
            <w:tcW w:w="1097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Fonts w:eastAsia="Calibri" w:cs="Arial"/>
                  <w:b/>
                  <w:bCs/>
                  <w:kern w:val="0"/>
                  <w:sz w:val="26"/>
                  <w:szCs w:val="22"/>
                  <w:u w:val="single"/>
                  <w:lang w:val="ru-RU" w:eastAsia="en-US" w:bidi="ar-SA"/>
                </w:rPr>
                <w:t>Техническим требованиям (Приложение № 1)</w:t>
              </w:r>
            </w:hyperlink>
            <w:r>
              <w:rPr>
                <w:rFonts w:eastAsia="Calibri" w:cs="Arial"/>
                <w:b/>
                <w:bCs/>
                <w:kern w:val="0"/>
                <w:sz w:val="26"/>
                <w:szCs w:val="22"/>
                <w:lang w:val="ru-RU" w:eastAsia="en-US" w:bidi="ar-SA"/>
              </w:rPr>
              <w:t>, в том числе:</w:t>
            </w:r>
          </w:p>
        </w:tc>
        <w:tc>
          <w:tcPr>
            <w:tcW w:w="2408"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84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исполнения Заказчиком норм в части минимальной обязательной доли закупок товаров российского происхождения (подраздел</w:t>
            </w:r>
            <w:r>
              <w:rPr>
                <w:rFonts w:eastAsia="Calibri" w:cs="Arial"/>
                <w:i/>
                <w:iCs/>
                <w:kern w:val="0"/>
                <w:sz w:val="26"/>
                <w:szCs w:val="22"/>
                <w:lang w:val="en-US" w:eastAsia="en-US" w:bidi="ar-SA"/>
              </w:rPr>
              <w:t> </w:t>
            </w:r>
            <w:r>
              <w:rPr>
                <w:rFonts w:eastAsia="Calibri" w:cs="Arial"/>
                <w:i/>
                <w:iCs/>
                <w:kern w:val="0"/>
                <w:sz w:val="26"/>
                <w:szCs w:val="22"/>
                <w:lang w:val="en-US" w:eastAsia="en-US" w:bidi="ar-SA"/>
              </w:rPr>
              <w:fldChar w:fldCharType="begin"/>
            </w:r>
            <w:r>
              <w:rPr>
                <w:sz w:val="26"/>
                <w:i/>
                <w:kern w:val="0"/>
                <w:szCs w:val="22"/>
                <w:iCs/>
                <w:rFonts w:eastAsia="Calibri" w:cs="Arial"/>
                <w:lang w:val="en-US" w:eastAsia="en-US" w:bidi="ar-SA"/>
              </w:rPr>
              <w:instrText xml:space="preserve"> REF _Ref186181253 \r \h </w:instrText>
            </w:r>
            <w:r>
              <w:rPr>
                <w:sz w:val="26"/>
                <w:i/>
                <w:kern w:val="0"/>
                <w:szCs w:val="22"/>
                <w:iCs/>
                <w:rFonts w:eastAsia="Calibri" w:cs="Arial"/>
                <w:lang w:val="en-US" w:eastAsia="en-US" w:bidi="ar-SA"/>
              </w:rPr>
              <w:fldChar w:fldCharType="separate"/>
            </w:r>
            <w:r>
              <w:rPr>
                <w:sz w:val="26"/>
                <w:i/>
                <w:kern w:val="0"/>
                <w:szCs w:val="22"/>
                <w:iCs/>
                <w:rFonts w:eastAsia="Calibri" w:cs="Arial"/>
                <w:lang w:val="en-US" w:eastAsia="en-US" w:bidi="ar-SA"/>
              </w:rPr>
              <w:t>4.14</w:t>
            </w:r>
            <w:r>
              <w:rPr>
                <w:sz w:val="26"/>
                <w:i/>
                <w:kern w:val="0"/>
                <w:szCs w:val="22"/>
                <w:iCs/>
                <w:rFonts w:eastAsia="Calibri" w:cs="Arial"/>
                <w:lang w:val="en-US" w:eastAsia="en-US" w:bidi="ar-SA"/>
              </w:rPr>
              <w:fldChar w:fldCharType="end"/>
            </w:r>
            <w:r>
              <w:rPr>
                <w:rFonts w:eastAsia="Calibri" w:cs="Arial"/>
                <w:i/>
                <w:iCs/>
                <w:kern w:val="0"/>
                <w:sz w:val="26"/>
                <w:szCs w:val="22"/>
                <w:lang w:val="ru-RU" w:eastAsia="en-US" w:bidi="ar-SA"/>
              </w:rPr>
              <w:t>))</w:t>
            </w:r>
          </w:p>
        </w:tc>
        <w:tc>
          <w:tcPr>
            <w:tcW w:w="2408"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w:t>
            </w:r>
            <w:r>
              <w:rPr>
                <w:rFonts w:eastAsia="Calibri" w:cs="Arial"/>
                <w:kern w:val="0"/>
                <w:sz w:val="26"/>
                <w:szCs w:val="22"/>
                <w:lang w:val="en-US" w:eastAsia="en-US" w:bidi="ar-SA"/>
              </w:rPr>
              <w:t>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_Ref130281199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4.3</w:t>
            </w:r>
            <w:r>
              <w:rPr>
                <w:sz w:val="26"/>
                <w:kern w:val="0"/>
                <w:szCs w:val="22"/>
                <w:rFonts w:eastAsia="Calibri" w:cs="Arial"/>
                <w:lang w:val="en-US"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_Ref186181253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4.14</w:t>
            </w:r>
            <w:r>
              <w:rPr>
                <w:sz w:val="26"/>
                <w:kern w:val="0"/>
                <w:szCs w:val="22"/>
                <w:rFonts w:eastAsia="Calibri" w:cs="Arial"/>
                <w:lang w:val="en-US" w:eastAsia="en-US" w:bidi="ar-SA"/>
              </w:rPr>
              <w:fldChar w:fldCharType="end"/>
            </w:r>
            <w:r>
              <w:rPr>
                <w:rFonts w:eastAsia="Calibri" w:cs="Arial"/>
                <w:kern w:val="0"/>
                <w:sz w:val="26"/>
                <w:szCs w:val="22"/>
                <w:lang w:val="en-US" w:eastAsia="en-US" w:bidi="ar-SA"/>
              </w:rPr>
              <w:br/>
            </w: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0"/>
              </w:numPr>
              <w:suppressAutoHyphens w:val="true"/>
              <w:spacing w:before="60" w:after="60"/>
              <w:ind w:left="170" w:hanging="0"/>
              <w:jc w:val="center"/>
              <w:rPr>
                <w:rFonts w:eastAsia="Calibri" w:cs="Arial"/>
              </w:rPr>
            </w:pPr>
            <w:r>
              <w:rPr>
                <w:rFonts w:eastAsia="Calibri" w:cs="Arial"/>
              </w:rPr>
            </w:r>
          </w:p>
        </w:tc>
        <w:tc>
          <w:tcPr>
            <w:tcW w:w="964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r>
              <w:rPr>
                <w:rFonts w:eastAsia="Calibri" w:cs="Arial"/>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2408"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84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07" w:name="__RefHeading___Toc13024_2134259642"/>
      <w:bookmarkStart w:id="408" w:name="_Toc58"/>
      <w:bookmarkEnd w:id="407"/>
      <w:r>
        <w:rPr>
          <w:rStyle w:val="Style8"/>
          <w:i w:val="false"/>
          <w:iCs w:val="false"/>
          <w:shd w:fill="auto" w:val="clear"/>
        </w:rPr>
        <w:t>Отборочные критерии рассмотрения ценовых предложений (дополнительных ценовых предложений)</w:t>
      </w:r>
      <w:bookmarkEnd w:id="408"/>
    </w:p>
    <w:tbl>
      <w:tblPr>
        <w:tblStyle w:val="1442"/>
        <w:tblW w:w="1536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330"/>
        <w:gridCol w:w="8930"/>
        <w:gridCol w:w="3119"/>
        <w:gridCol w:w="1983"/>
      </w:tblGrid>
      <w:tr>
        <w:trPr/>
        <w:tc>
          <w:tcPr>
            <w:tcW w:w="13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8930"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3119"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1983"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026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Состав, содержание и правильность оформления ценового предложения, в том числе:</w:t>
            </w:r>
          </w:p>
        </w:tc>
        <w:tc>
          <w:tcPr>
            <w:tcW w:w="3119"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983" w:type="dxa"/>
            <w:tcBorders/>
          </w:tcPr>
          <w:p>
            <w:pPr>
              <w:pStyle w:val="Style26"/>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 xml:space="preserve">Соответствие ценового предложения по составу требованиям </w:t>
            </w:r>
            <w:hyperlink w:anchor="Прил06_СоставЗаявки" w:tgtFrame="#Прил06_СоставЗаявки">
              <w:r>
                <w:rPr>
                  <w:rFonts w:eastAsia="Calibri" w:cs="Arial"/>
                  <w:kern w:val="0"/>
                  <w:sz w:val="26"/>
                  <w:szCs w:val="22"/>
                  <w:u w:val="single"/>
                  <w:lang w:val="ru-RU" w:eastAsia="en-US" w:bidi="ar-SA"/>
                </w:rPr>
                <w:t>Приложения № 6 «Состав заявки»</w:t>
              </w:r>
            </w:hyperlink>
            <w:r>
              <w:rPr>
                <w:rFonts w:eastAsia="Calibri" w:cs="Arial"/>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Приложение №1,</w:t>
            </w:r>
          </w:p>
          <w:p>
            <w:pPr>
              <w:pStyle w:val="Style26"/>
              <w:widowControl w:val="false"/>
              <w:suppressAutoHyphens w:val="true"/>
              <w:spacing w:before="60" w:after="60"/>
              <w:jc w:val="center"/>
              <w:rPr>
                <w:rStyle w:val="Style11"/>
              </w:rPr>
            </w:pPr>
            <w:hyperlink w:anchor="Прил06_СоставЗаявки" w:tgtFrame="#Прил06_СоставЗаявки">
              <w:r>
                <w:rPr>
                  <w:rFonts w:eastAsia="Calibri" w:cs="Arial"/>
                  <w:kern w:val="0"/>
                  <w:sz w:val="26"/>
                  <w:szCs w:val="22"/>
                  <w:u w:val="single"/>
                  <w:lang w:val="ru-RU" w:eastAsia="en-US" w:bidi="ar-SA"/>
                </w:rPr>
                <w:t>Приложение № 6</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_Ref132797154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4.11</w:t>
            </w:r>
            <w:r>
              <w:rPr>
                <w:sz w:val="26"/>
                <w:kern w:val="0"/>
                <w:szCs w:val="22"/>
                <w:rFonts w:eastAsia="Calibri" w:cs="Arial"/>
                <w:lang w:val="ru-RU" w:eastAsia="en-US" w:bidi="ar-SA"/>
              </w:rPr>
              <w:fldChar w:fldCharType="end"/>
            </w:r>
          </w:p>
          <w:p>
            <w:pPr>
              <w:pStyle w:val="Style26"/>
              <w:widowControl w:val="false"/>
              <w:suppressAutoHyphens w:val="true"/>
              <w:spacing w:before="60" w:after="60"/>
              <w:jc w:val="center"/>
              <w:rPr>
                <w:rFonts w:eastAsia="Calibri" w:cs="Arial"/>
              </w:rPr>
            </w:pPr>
            <w:r>
              <w:rPr>
                <w:rFonts w:eastAsia="Calibri" w:cs="Arial"/>
              </w:rPr>
            </w:r>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0260" w:type="dxa"/>
            <w:gridSpan w:val="2"/>
            <w:tcBorders/>
          </w:tcPr>
          <w:p>
            <w:pPr>
              <w:pStyle w:val="Style26"/>
              <w:keepNext w:val="true"/>
              <w:widowControl w:val="false"/>
              <w:suppressAutoHyphens w:val="true"/>
              <w:spacing w:before="60" w:after="60"/>
              <w:rPr>
                <w:b/>
                <w:bCs/>
              </w:rPr>
            </w:pPr>
            <w:r>
              <w:rPr>
                <w:rFonts w:eastAsia="Calibri" w:cs="Arial"/>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9"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c>
          <w:tcPr>
            <w:tcW w:w="1983" w:type="dxa"/>
            <w:tcBorders/>
          </w:tcPr>
          <w:p>
            <w:pPr>
              <w:pStyle w:val="Style26"/>
              <w:keepNext w:val="true"/>
              <w:widowControl w:val="false"/>
              <w:suppressAutoHyphens w:val="true"/>
              <w:spacing w:before="60" w:after="60"/>
              <w:jc w:val="center"/>
              <w:rPr>
                <w:b/>
                <w:bCs/>
              </w:rPr>
            </w:pPr>
            <w:r>
              <w:rPr>
                <w:rFonts w:eastAsia="Calibri" w:cs="Arial"/>
                <w:b/>
                <w:bCs/>
                <w:kern w:val="0"/>
                <w:sz w:val="26"/>
                <w:szCs w:val="22"/>
                <w:lang w:val="ru-RU" w:eastAsia="en-US" w:bidi="ar-SA"/>
              </w:rPr>
              <w:t>–</w:t>
            </w:r>
          </w:p>
        </w:tc>
      </w:tr>
      <w:tr>
        <w:trPr/>
        <w:tc>
          <w:tcPr>
            <w:tcW w:w="1330" w:type="dxa"/>
            <w:tcBorders/>
          </w:tcPr>
          <w:p>
            <w:pPr>
              <w:pStyle w:val="Style26"/>
              <w:widowControl w:val="false"/>
              <w:numPr>
                <w:ilvl w:val="0"/>
                <w:numId w:val="11"/>
              </w:numPr>
              <w:suppressAutoHyphens w:val="true"/>
              <w:spacing w:before="60" w:after="6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Приложение №1,</w:t>
              <w:br/>
            </w:r>
            <w:hyperlink w:anchor="Прил04_ФормыЗаявки" w:tgtFrame="#Прил04_ФормыЗаявки">
              <w:r>
                <w:rPr>
                  <w:rFonts w:eastAsia="Calibri" w:cs="Arial"/>
                  <w:kern w:val="0"/>
                  <w:sz w:val="26"/>
                  <w:szCs w:val="22"/>
                  <w:u w:val="single"/>
                  <w:lang w:val="ru-RU" w:eastAsia="en-US" w:bidi="ar-SA"/>
                </w:rPr>
                <w:t>Приложение № 4</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r>
        <w:trPr/>
        <w:tc>
          <w:tcPr>
            <w:tcW w:w="1330" w:type="dxa"/>
            <w:tcBorders/>
          </w:tcPr>
          <w:p>
            <w:pPr>
              <w:pStyle w:val="Style26"/>
              <w:widowControl w:val="false"/>
              <w:numPr>
                <w:ilvl w:val="0"/>
                <w:numId w:val="11"/>
              </w:numPr>
              <w:suppressAutoHyphens w:val="true"/>
              <w:spacing w:before="60" w:after="60"/>
              <w:ind w:left="170" w:hanging="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Arial"/>
                <w:i/>
                <w:iCs/>
                <w:kern w:val="0"/>
                <w:sz w:val="26"/>
                <w:szCs w:val="22"/>
                <w:lang w:val="en-US" w:eastAsia="en-US" w:bidi="ar-SA"/>
              </w:rPr>
              <w:fldChar w:fldCharType="begin"/>
            </w:r>
            <w:r>
              <w:rPr>
                <w:sz w:val="26"/>
                <w:i/>
                <w:kern w:val="0"/>
                <w:szCs w:val="22"/>
                <w:iCs/>
                <w:rFonts w:eastAsia="Calibri" w:cs="Arial"/>
                <w:lang w:val="en-US" w:eastAsia="en-US" w:bidi="ar-SA"/>
              </w:rPr>
              <w:instrText xml:space="preserve"> REF _Ref186181253 \r \h </w:instrText>
            </w:r>
            <w:r>
              <w:rPr>
                <w:sz w:val="26"/>
                <w:i/>
                <w:kern w:val="0"/>
                <w:szCs w:val="22"/>
                <w:iCs/>
                <w:rFonts w:eastAsia="Calibri" w:cs="Arial"/>
                <w:lang w:val="en-US" w:eastAsia="en-US" w:bidi="ar-SA"/>
              </w:rPr>
              <w:fldChar w:fldCharType="separate"/>
            </w:r>
            <w:r>
              <w:rPr>
                <w:sz w:val="26"/>
                <w:i/>
                <w:kern w:val="0"/>
                <w:szCs w:val="22"/>
                <w:iCs/>
                <w:rFonts w:eastAsia="Calibri" w:cs="Arial"/>
                <w:lang w:val="en-US" w:eastAsia="en-US" w:bidi="ar-SA"/>
              </w:rPr>
              <w:t>4.14</w:t>
            </w:r>
            <w:r>
              <w:rPr>
                <w:sz w:val="26"/>
                <w:i/>
                <w:kern w:val="0"/>
                <w:szCs w:val="22"/>
                <w:iCs/>
                <w:rFonts w:eastAsia="Calibri" w:cs="Arial"/>
                <w:lang w:val="en-US" w:eastAsia="en-US" w:bidi="ar-SA"/>
              </w:rPr>
              <w:fldChar w:fldCharType="end"/>
            </w:r>
            <w:r>
              <w:rPr>
                <w:rFonts w:eastAsia="Calibri" w:cs="Arial"/>
                <w:i/>
                <w:iCs/>
                <w:kern w:val="0"/>
                <w:sz w:val="26"/>
                <w:szCs w:val="22"/>
                <w:lang w:val="ru-RU" w:eastAsia="en-US" w:bidi="ar-SA"/>
              </w:rPr>
              <w:t>))</w:t>
            </w:r>
          </w:p>
        </w:tc>
        <w:tc>
          <w:tcPr>
            <w:tcW w:w="3119"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_Ref130281199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en-US" w:eastAsia="en-US" w:bidi="ar-SA"/>
              </w:rPr>
              <w:fldChar w:fldCharType="begin"/>
            </w:r>
            <w:r>
              <w:rPr>
                <w:sz w:val="26"/>
                <w:kern w:val="0"/>
                <w:szCs w:val="22"/>
                <w:rFonts w:eastAsia="Calibri" w:cs="Arial"/>
                <w:lang w:val="en-US" w:eastAsia="en-US" w:bidi="ar-SA"/>
              </w:rPr>
              <w:instrText xml:space="preserve"> REF _Ref186181253 \r \h </w:instrText>
            </w:r>
            <w:r>
              <w:rPr>
                <w:sz w:val="26"/>
                <w:kern w:val="0"/>
                <w:szCs w:val="22"/>
                <w:rFonts w:eastAsia="Calibri" w:cs="Arial"/>
                <w:lang w:val="en-US" w:eastAsia="en-US" w:bidi="ar-SA"/>
              </w:rPr>
              <w:fldChar w:fldCharType="separate"/>
            </w:r>
            <w:r>
              <w:rPr>
                <w:sz w:val="26"/>
                <w:kern w:val="0"/>
                <w:szCs w:val="22"/>
                <w:rFonts w:eastAsia="Calibri" w:cs="Arial"/>
                <w:lang w:val="en-US" w:eastAsia="en-US" w:bidi="ar-SA"/>
              </w:rPr>
              <w:t>4.14</w:t>
            </w:r>
            <w:r>
              <w:rPr>
                <w:sz w:val="26"/>
                <w:kern w:val="0"/>
                <w:szCs w:val="22"/>
                <w:rFonts w:eastAsia="Calibri" w:cs="Arial"/>
                <w:lang w:val="en-US" w:eastAsia="en-US" w:bidi="ar-SA"/>
              </w:rPr>
              <w:fldChar w:fldCharType="end"/>
            </w:r>
          </w:p>
          <w:p>
            <w:pPr>
              <w:pStyle w:val="Style26"/>
              <w:widowControl w:val="false"/>
              <w:suppressAutoHyphens w:val="true"/>
              <w:spacing w:before="60" w:after="60"/>
              <w:jc w:val="center"/>
              <w:rPr>
                <w:rFonts w:eastAsia="Calibri" w:cs="Arial"/>
              </w:rPr>
            </w:pP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br/>
              <w:t>(форма Коммерческого предложения)</w:t>
            </w:r>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r>
        <w:trPr/>
        <w:tc>
          <w:tcPr>
            <w:tcW w:w="1330" w:type="dxa"/>
            <w:tcBorders/>
          </w:tcPr>
          <w:p>
            <w:pPr>
              <w:pStyle w:val="Style26"/>
              <w:widowControl w:val="false"/>
              <w:numPr>
                <w:ilvl w:val="0"/>
                <w:numId w:val="11"/>
              </w:numPr>
              <w:suppressAutoHyphens w:val="true"/>
              <w:spacing w:before="60" w:after="60"/>
              <w:ind w:left="170" w:hanging="0"/>
              <w:jc w:val="center"/>
              <w:rPr>
                <w:rFonts w:eastAsia="Calibri" w:cs="Arial"/>
              </w:rPr>
            </w:pPr>
            <w:r>
              <w:rPr>
                <w:rFonts w:eastAsia="Calibri" w:cs="Arial"/>
              </w:rPr>
            </w:r>
          </w:p>
        </w:tc>
        <w:tc>
          <w:tcPr>
            <w:tcW w:w="8930"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Соответствие подтверждающей документации, прилагаемой к</w:t>
            </w:r>
            <w:r>
              <w:rPr>
                <w:rFonts w:eastAsia="Calibri" w:cs="Arial"/>
                <w:kern w:val="0"/>
                <w:sz w:val="26"/>
                <w:szCs w:val="22"/>
                <w:lang w:val="en-US" w:eastAsia="en-US" w:bidi="ar-SA"/>
              </w:rPr>
              <w:t> </w:t>
            </w:r>
            <w:r>
              <w:rPr>
                <w:rFonts w:eastAsia="Calibri" w:cs="Arial"/>
                <w:kern w:val="0"/>
                <w:sz w:val="26"/>
                <w:szCs w:val="22"/>
                <w:lang w:val="ru-RU" w:eastAsia="en-US" w:bidi="ar-SA"/>
              </w:rPr>
              <w:t>Коммерческому приложению (форма 3) (</w:t>
            </w:r>
            <w:hyperlink w:anchor="Прил04_ФормыЗаявки" w:tgtFrame="#Прил04_ФормыЗаявки">
              <w:r>
                <w:rPr>
                  <w:rFonts w:eastAsia="Calibri" w:cs="Arial"/>
                  <w:kern w:val="0"/>
                  <w:sz w:val="26"/>
                  <w:szCs w:val="22"/>
                  <w:u w:val="single"/>
                  <w:lang w:val="ru-RU" w:eastAsia="en-US" w:bidi="ar-SA"/>
                </w:rPr>
                <w:t>Приложение № 4</w:t>
              </w:r>
            </w:hyperlink>
            <w:r>
              <w:rPr>
                <w:rFonts w:eastAsia="Calibri" w:cs="Arial"/>
                <w:kern w:val="0"/>
                <w:sz w:val="26"/>
                <w:szCs w:val="22"/>
                <w:lang w:val="ru-RU" w:eastAsia="en-US" w:bidi="ar-SA"/>
              </w:rPr>
              <w:t xml:space="preserve">) требованиям, указанным в </w:t>
            </w:r>
            <w:hyperlink w:anchor="Прил01_ТехТребования" w:tgtFrame="#Прил01_ТехТребования">
              <w:r>
                <w:rPr>
                  <w:rFonts w:eastAsia="Calibri" w:cs="Arial"/>
                  <w:kern w:val="0"/>
                  <w:sz w:val="26"/>
                  <w:szCs w:val="22"/>
                  <w:u w:val="single"/>
                  <w:lang w:val="ru-RU" w:eastAsia="en-US" w:bidi="ar-SA"/>
                </w:rPr>
                <w:t>Технических требованиях (Приложение № 1)</w:t>
              </w:r>
            </w:hyperlink>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tgtFrame="#Прил01_ТехТребования">
              <w:r>
                <w:rPr>
                  <w:rFonts w:eastAsia="Calibri" w:cs="Arial"/>
                  <w:i/>
                  <w:iCs/>
                  <w:kern w:val="0"/>
                  <w:sz w:val="26"/>
                  <w:szCs w:val="22"/>
                  <w:u w:val="single"/>
                  <w:lang w:val="ru-RU" w:eastAsia="en-US" w:bidi="ar-SA"/>
                </w:rPr>
                <w:t>Технических требованиях (Приложение № 1)</w:t>
              </w:r>
            </w:hyperlink>
            <w:r>
              <w:rPr>
                <w:rFonts w:eastAsia="Calibri" w:cs="Arial"/>
                <w:i/>
                <w:iCs/>
                <w:kern w:val="0"/>
                <w:sz w:val="26"/>
                <w:szCs w:val="22"/>
                <w:lang w:val="ru-RU" w:eastAsia="en-US" w:bidi="ar-SA"/>
              </w:rPr>
              <w:t>)</w:t>
            </w:r>
          </w:p>
        </w:tc>
        <w:tc>
          <w:tcPr>
            <w:tcW w:w="3119" w:type="dxa"/>
            <w:tcBorders/>
          </w:tcPr>
          <w:p>
            <w:pPr>
              <w:pStyle w:val="Style26"/>
              <w:widowControl w:val="false"/>
              <w:suppressAutoHyphens w:val="true"/>
              <w:spacing w:before="60" w:after="60"/>
              <w:jc w:val="center"/>
              <w:rPr>
                <w:rFonts w:eastAsia="Calibri" w:cs="Arial"/>
              </w:rPr>
            </w:pPr>
            <w:hyperlink w:anchor="Прил01_ТехТребования" w:tgtFrame="#Прил01_ТехТребования">
              <w:r>
                <w:rPr>
                  <w:rFonts w:eastAsia="Calibri" w:cs="Arial"/>
                  <w:kern w:val="0"/>
                  <w:sz w:val="26"/>
                  <w:szCs w:val="22"/>
                  <w:u w:val="single"/>
                  <w:lang w:val="ru-RU" w:eastAsia="en-US" w:bidi="ar-SA"/>
                </w:rPr>
                <w:t>Приложение № 1</w:t>
              </w:r>
            </w:hyperlink>
          </w:p>
        </w:tc>
        <w:tc>
          <w:tcPr>
            <w:tcW w:w="1983"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Цена</w:t>
            </w:r>
          </w:p>
        </w:tc>
      </w:tr>
    </w:tbl>
    <w:p>
      <w:pPr>
        <w:pStyle w:val="Style21"/>
        <w:rPr>
          <w:rStyle w:val="Style8"/>
          <w:i w:val="false"/>
          <w:i w:val="false"/>
          <w:iCs w:val="false"/>
          <w:shd w:fill="auto" w:val="clear"/>
        </w:rPr>
      </w:pPr>
      <w:bookmarkStart w:id="409" w:name="__RefHeading___Toc13026_2134259642"/>
      <w:bookmarkStart w:id="410" w:name="_Toc59"/>
      <w:bookmarkEnd w:id="409"/>
      <w:r>
        <w:rPr>
          <w:rStyle w:val="Style8"/>
          <w:i w:val="false"/>
          <w:iCs w:val="false"/>
          <w:shd w:fill="auto" w:val="clear"/>
        </w:rPr>
        <w:t>Дополнительные критерии проверки заявок на соответствие условиям Документации о закупке</w:t>
      </w:r>
      <w:bookmarkEnd w:id="410"/>
    </w:p>
    <w:p>
      <w:pPr>
        <w:pStyle w:val="Style26"/>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1442"/>
        <w:tblW w:w="1536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1"/>
        <w:gridCol w:w="8507"/>
        <w:gridCol w:w="3117"/>
        <w:gridCol w:w="2327"/>
      </w:tblGrid>
      <w:tr>
        <w:trPr/>
        <w:tc>
          <w:tcPr>
            <w:tcW w:w="1411"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w:t>
              <w:br/>
              <w:t>критерия</w:t>
            </w:r>
          </w:p>
        </w:tc>
        <w:tc>
          <w:tcPr>
            <w:tcW w:w="850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Наименование</w:t>
              <w:br/>
              <w:t>отборочного критерия</w:t>
            </w:r>
          </w:p>
        </w:tc>
        <w:tc>
          <w:tcPr>
            <w:tcW w:w="311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Номер пункта</w:t>
              <w:br/>
              <w:t>Документации о закупке</w:t>
            </w:r>
          </w:p>
        </w:tc>
        <w:tc>
          <w:tcPr>
            <w:tcW w:w="2327" w:type="dxa"/>
            <w:tcBorders/>
          </w:tcPr>
          <w:p>
            <w:pPr>
              <w:pStyle w:val="Style26"/>
              <w:keepNext w:val="true"/>
              <w:widowControl w:val="false"/>
              <w:suppressAutoHyphens w:val="true"/>
              <w:spacing w:before="60" w:after="60"/>
              <w:jc w:val="center"/>
              <w:rPr>
                <w:rFonts w:eastAsia="Calibri" w:cs="Arial"/>
                <w:b w:val="false"/>
              </w:rPr>
            </w:pPr>
            <w:r>
              <w:rPr>
                <w:rFonts w:eastAsia="Calibri" w:cs="Arial"/>
                <w:b/>
                <w:kern w:val="0"/>
                <w:sz w:val="26"/>
                <w:szCs w:val="22"/>
                <w:lang w:val="ru-RU" w:eastAsia="en-US" w:bidi="ar-SA"/>
              </w:rPr>
              <w:t>Направления</w:t>
              <w:br/>
              <w:t>оценки заявок*</w:t>
            </w:r>
          </w:p>
        </w:tc>
      </w:tr>
      <w:tr>
        <w:trPr/>
        <w:tc>
          <w:tcPr>
            <w:tcW w:w="1411" w:type="dxa"/>
            <w:tcBorders/>
          </w:tcPr>
          <w:p>
            <w:pPr>
              <w:pStyle w:val="Style26"/>
              <w:widowControl w:val="false"/>
              <w:numPr>
                <w:ilvl w:val="0"/>
                <w:numId w:val="12"/>
              </w:numPr>
              <w:suppressAutoHyphens w:val="true"/>
              <w:spacing w:before="60" w:after="60"/>
              <w:jc w:val="center"/>
              <w:rPr>
                <w:rFonts w:eastAsia="Calibri" w:cs="Arial"/>
              </w:rPr>
            </w:pPr>
            <w:r>
              <w:rPr>
                <w:rFonts w:eastAsia="Calibri" w:cs="Arial"/>
              </w:rPr>
            </w:r>
          </w:p>
        </w:tc>
        <w:tc>
          <w:tcPr>
            <w:tcW w:w="8507" w:type="dxa"/>
            <w:tcBorders/>
          </w:tcPr>
          <w:p>
            <w:pPr>
              <w:pStyle w:val="Style26"/>
              <w:widowControl w:val="false"/>
              <w:suppressAutoHyphens w:val="true"/>
              <w:spacing w:before="60" w:after="60"/>
              <w:rPr>
                <w:rFonts w:eastAsia="Calibri" w:cs="Arial"/>
              </w:rPr>
            </w:pPr>
            <w:r>
              <w:rPr>
                <w:rFonts w:eastAsia="Calibri" w:cs="Arial"/>
                <w:kern w:val="0"/>
                <w:sz w:val="26"/>
                <w:szCs w:val="22"/>
                <w:lang w:val="ru-RU" w:eastAsia="en-US" w:bidi="ar-SA"/>
              </w:rPr>
              <w:t>Возможность применения преимущества, 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26"/>
              <w:widowControl w:val="false"/>
              <w:suppressAutoHyphens w:val="true"/>
              <w:spacing w:before="60" w:after="60"/>
              <w:rPr>
                <w:rFonts w:eastAsia="Calibri" w:cs="Arial"/>
              </w:rPr>
            </w:pPr>
            <w:r>
              <w:rPr>
                <w:rFonts w:eastAsia="Calibri" w:cs="Arial"/>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_Ref130985951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rStyle w:val="Style11"/>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_Ref132816300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4.14</w:t>
            </w:r>
            <w:r>
              <w:rPr>
                <w:sz w:val="26"/>
                <w:kern w:val="0"/>
                <w:szCs w:val="22"/>
                <w:rFonts w:eastAsia="Calibri" w:cs="Arial"/>
                <w:lang w:val="ru-RU" w:eastAsia="en-US" w:bidi="ar-SA"/>
              </w:rPr>
              <w:fldChar w:fldCharType="end"/>
            </w:r>
          </w:p>
        </w:tc>
        <w:tc>
          <w:tcPr>
            <w:tcW w:w="2327" w:type="dxa"/>
            <w:tcBorders/>
          </w:tcPr>
          <w:p>
            <w:pPr>
              <w:pStyle w:val="Style26"/>
              <w:widowControl w:val="false"/>
              <w:suppressAutoHyphens w:val="true"/>
              <w:spacing w:before="60" w:after="60"/>
              <w:jc w:val="center"/>
              <w:rPr>
                <w:rFonts w:eastAsia="Calibri" w:cs="Arial"/>
              </w:rPr>
            </w:pPr>
            <w:r>
              <w:rPr>
                <w:rFonts w:eastAsia="Calibri" w:cs="Arial"/>
                <w:kern w:val="0"/>
                <w:sz w:val="26"/>
                <w:szCs w:val="22"/>
                <w:lang w:val="ru-RU" w:eastAsia="en-US" w:bidi="ar-SA"/>
              </w:rPr>
              <w:t>Тех</w:t>
            </w:r>
          </w:p>
        </w:tc>
      </w:tr>
    </w:tbl>
    <w:p>
      <w:pPr>
        <w:pStyle w:val="Style26"/>
        <w:keepNext w:val="true"/>
        <w:tabs>
          <w:tab w:val="clear" w:pos="708"/>
          <w:tab w:val="left" w:pos="851" w:leader="none"/>
        </w:tabs>
        <w:spacing w:before="240" w:after="0"/>
        <w:rPr>
          <w:b/>
          <w:bCs/>
        </w:rPr>
      </w:pPr>
      <w:r>
        <w:rPr>
          <w:b/>
          <w:bCs/>
        </w:rPr>
        <w:t>* Направления оценки заявок:</w:t>
      </w:r>
    </w:p>
    <w:p>
      <w:pPr>
        <w:pStyle w:val="Style26"/>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411" w:name="_Hlk207818776"/>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411"/>
      <w:r>
        <w:rPr/>
        <w:t>;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pPr>
      <w:r>
        <w:rPr>
          <w:b/>
          <w:bCs/>
        </w:rPr>
        <w:t>Цена</w:t>
      </w:r>
      <w:r>
        <w:rPr/>
        <w:tab/>
        <w:t>–</w:t>
        <w:tab/>
      </w:r>
      <w:bookmarkStart w:id="412" w:name="_Hlk207821342"/>
      <w:bookmarkStart w:id="413" w:name="_Hlk207818793"/>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(сметная документация и т.п.),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w:t>
      </w:r>
      <w:bookmarkEnd w:id="412"/>
      <w:bookmarkEnd w:id="413"/>
      <w:r>
        <w:rPr/>
        <w:t xml:space="preserve"> непревышения ценового предложения участника установленного размера НМЦ.</w:t>
      </w:r>
    </w:p>
    <w:p>
      <w:pPr>
        <w:pStyle w:val="Style26"/>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26"/>
          <w:headerReference w:type="first" r:id="rId27"/>
          <w:footerReference w:type="default" r:id="rId28"/>
          <w:footerReference w:type="first" r:id="rId29"/>
          <w:footnotePr>
            <w:numFmt w:val="decimal"/>
          </w:footnotePr>
          <w:type w:val="nextPage"/>
          <w:pgSz w:orient="landscape" w:w="16838" w:h="11906"/>
          <w:pgMar w:left="851" w:right="822" w:gutter="0" w:header="567" w:top="1134" w:footer="567" w:bottom="850"/>
          <w:pgNumType w:fmt="decimal"/>
          <w:formProt w:val="false"/>
          <w:textDirection w:val="lrTb"/>
          <w:docGrid w:type="default" w:linePitch="360" w:charSpace="0"/>
        </w:sectPr>
        <w:pStyle w:val="Style26"/>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spacing w:before="0" w:after="0"/>
        <w:rPr/>
      </w:pPr>
      <w:bookmarkStart w:id="414" w:name="__RefHeading___Toc13028_2134259642"/>
      <w:bookmarkStart w:id="415" w:name="_Ref125368140"/>
      <w:bookmarkStart w:id="416" w:name="Прил08_ПорядокОценки"/>
      <w:bookmarkStart w:id="417" w:name="_Ref125368150"/>
      <w:bookmarkStart w:id="418" w:name="_Ref125368165"/>
      <w:bookmarkStart w:id="419" w:name="_Ref125368283"/>
      <w:bookmarkStart w:id="420" w:name="_Ref125368172"/>
      <w:bookmarkStart w:id="421" w:name="_Ref125368184"/>
      <w:bookmarkStart w:id="422" w:name="_Ref125369438"/>
      <w:bookmarkStart w:id="423" w:name="_Ref125369021"/>
      <w:bookmarkStart w:id="424" w:name="_Ref125368331"/>
      <w:bookmarkStart w:id="425" w:name="_Ref125366285"/>
      <w:bookmarkStart w:id="426" w:name="_Ref125366280"/>
      <w:bookmarkStart w:id="427" w:name="_Ref125366013"/>
      <w:bookmarkStart w:id="428" w:name="_Ref125361951"/>
      <w:bookmarkStart w:id="429" w:name="_Ref125361648"/>
      <w:bookmarkStart w:id="430" w:name="_Toc60"/>
      <w:bookmarkStart w:id="431" w:name="_Ref125368291"/>
      <w:bookmarkStart w:id="432" w:name="_Ref125368302"/>
      <w:bookmarkStart w:id="433" w:name="_Ref125368313"/>
      <w:bookmarkEnd w:id="414"/>
      <w:bookmarkEnd w:id="416"/>
      <w:r>
        <w:rPr/>
        <w:t>Приложение № 8 – Порядок и критерии оценки и сопоставления заявок</w:t>
      </w:r>
      <w:bookmarkEnd w:id="415"/>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pStyle w:val="Style21"/>
        <w:rPr/>
      </w:pPr>
      <w:bookmarkStart w:id="434" w:name="__RefHeading___Toc13030_2134259642"/>
      <w:bookmarkStart w:id="435" w:name="_Toc61"/>
      <w:bookmarkEnd w:id="434"/>
      <w:r>
        <w:rPr/>
        <w:t>Порядок и критерии оценки и сопоставления заявок</w:t>
      </w:r>
      <w:bookmarkEnd w:id="435"/>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1442"/>
        <w:tblW w:w="14376" w:type="dxa"/>
        <w:jc w:val="left"/>
        <w:tblInd w:w="1128" w:type="dxa"/>
        <w:tblLayout w:type="fixed"/>
        <w:tblCellMar>
          <w:top w:w="0" w:type="dxa"/>
          <w:left w:w="57" w:type="dxa"/>
          <w:bottom w:w="0" w:type="dxa"/>
          <w:right w:w="57" w:type="dxa"/>
        </w:tblCellMar>
        <w:tblLook w:val="04a0" w:noHBand="0" w:noVBand="1" w:firstColumn="1" w:lastRow="0" w:lastColumn="0" w:firstRow="1"/>
      </w:tblPr>
      <w:tblGrid>
        <w:gridCol w:w="1052"/>
        <w:gridCol w:w="1417"/>
        <w:gridCol w:w="1843"/>
        <w:gridCol w:w="1560"/>
        <w:gridCol w:w="1133"/>
        <w:gridCol w:w="1702"/>
        <w:gridCol w:w="5668"/>
      </w:tblGrid>
      <w:tr>
        <w:trPr/>
        <w:tc>
          <w:tcPr>
            <w:tcW w:w="1052"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Номер критерия оценки в</w:t>
            </w:r>
            <w:r>
              <w:rPr>
                <w:rFonts w:eastAsia="Calibri" w:cs="Arial"/>
                <w:b/>
                <w:kern w:val="0"/>
                <w:sz w:val="18"/>
                <w:szCs w:val="18"/>
                <w:lang w:val="en-US" w:eastAsia="en-US" w:bidi="ar-SA"/>
              </w:rPr>
              <w:t> </w:t>
            </w:r>
            <w:r>
              <w:rPr>
                <w:rFonts w:eastAsia="Calibri" w:cs="Arial"/>
                <w:b/>
                <w:kern w:val="0"/>
                <w:sz w:val="18"/>
                <w:szCs w:val="18"/>
                <w:lang w:val="ru-RU" w:eastAsia="en-US" w:bidi="ar-SA"/>
              </w:rPr>
              <w:br/>
              <w:t>структуре</w:t>
            </w:r>
          </w:p>
        </w:tc>
        <w:tc>
          <w:tcPr>
            <w:tcW w:w="1417"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Вид критерия оценки / направление оценки заявок</w:t>
            </w:r>
          </w:p>
        </w:tc>
        <w:tc>
          <w:tcPr>
            <w:tcW w:w="3403" w:type="dxa"/>
            <w:gridSpan w:val="2"/>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Наименование критерия оценки</w:t>
            </w:r>
          </w:p>
        </w:tc>
        <w:tc>
          <w:tcPr>
            <w:tcW w:w="1133"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Значимость</w:t>
              <w:br/>
              <w:t>критерия оценки</w:t>
            </w:r>
          </w:p>
        </w:tc>
        <w:tc>
          <w:tcPr>
            <w:tcW w:w="1702"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Содержание частного критерия оценки</w:t>
            </w:r>
          </w:p>
        </w:tc>
        <w:tc>
          <w:tcPr>
            <w:tcW w:w="5668" w:type="dxa"/>
            <w:vMerge w:val="restart"/>
            <w:tcBorders/>
          </w:tcPr>
          <w:p>
            <w:pPr>
              <w:pStyle w:val="Style26"/>
              <w:keepNext w:val="true"/>
              <w:widowControl w:val="false"/>
              <w:suppressAutoHyphens w:val="true"/>
              <w:spacing w:before="40" w:after="40"/>
              <w:jc w:val="center"/>
              <w:rPr>
                <w:sz w:val="18"/>
                <w:szCs w:val="18"/>
              </w:rPr>
            </w:pPr>
            <w:r>
              <w:rPr>
                <w:rFonts w:eastAsia="Calibri" w:cs="Arial"/>
                <w:b/>
                <w:kern w:val="0"/>
                <w:sz w:val="18"/>
                <w:szCs w:val="18"/>
                <w:lang w:val="ru-RU" w:eastAsia="en-US" w:bidi="ar-SA"/>
              </w:rPr>
              <w:t>Расчет оценки предпочтительности заявки</w:t>
            </w:r>
          </w:p>
        </w:tc>
      </w:tr>
      <w:tr>
        <w:trPr/>
        <w:tc>
          <w:tcPr>
            <w:tcW w:w="1052" w:type="dxa"/>
            <w:vMerge w:val="continue"/>
            <w:tcBorders/>
          </w:tcPr>
          <w:p>
            <w:pPr>
              <w:pStyle w:val="Style26"/>
              <w:widowControl w:val="false"/>
              <w:suppressAutoHyphens w:val="true"/>
              <w:spacing w:before="40" w:after="40"/>
              <w:jc w:val="center"/>
              <w:rPr>
                <w:sz w:val="18"/>
                <w:szCs w:val="18"/>
              </w:rPr>
            </w:pPr>
            <w:r>
              <w:rPr>
                <w:sz w:val="18"/>
                <w:szCs w:val="18"/>
              </w:rPr>
            </w:r>
          </w:p>
        </w:tc>
        <w:tc>
          <w:tcPr>
            <w:tcW w:w="1417" w:type="dxa"/>
            <w:vMerge w:val="continue"/>
            <w:tcBorders/>
          </w:tcPr>
          <w:p>
            <w:pPr>
              <w:pStyle w:val="Style26"/>
              <w:widowControl w:val="false"/>
              <w:suppressAutoHyphens w:val="true"/>
              <w:spacing w:before="40" w:after="40"/>
              <w:jc w:val="center"/>
              <w:rPr>
                <w:sz w:val="18"/>
                <w:szCs w:val="18"/>
              </w:rPr>
            </w:pPr>
            <w:r>
              <w:rPr>
                <w:sz w:val="18"/>
                <w:szCs w:val="18"/>
              </w:rPr>
            </w:r>
          </w:p>
        </w:tc>
        <w:tc>
          <w:tcPr>
            <w:tcW w:w="1843" w:type="dxa"/>
            <w:tcBorders/>
          </w:tcPr>
          <w:p>
            <w:pPr>
              <w:pStyle w:val="Style26"/>
              <w:widowControl w:val="false"/>
              <w:suppressAutoHyphens w:val="true"/>
              <w:spacing w:before="40" w:after="40"/>
              <w:jc w:val="center"/>
              <w:rPr>
                <w:b/>
                <w:bCs/>
                <w:sz w:val="18"/>
                <w:szCs w:val="18"/>
              </w:rPr>
            </w:pPr>
            <w:r>
              <w:rPr>
                <w:rFonts w:eastAsia="Calibri" w:cs="Arial"/>
                <w:b/>
                <w:bCs/>
                <w:kern w:val="0"/>
                <w:sz w:val="18"/>
                <w:szCs w:val="18"/>
                <w:lang w:val="ru-RU" w:eastAsia="en-US" w:bidi="ar-SA"/>
              </w:rPr>
              <w:t>критерий оценки первого уровня</w:t>
            </w:r>
          </w:p>
        </w:tc>
        <w:tc>
          <w:tcPr>
            <w:tcW w:w="1560" w:type="dxa"/>
            <w:tcBorders/>
          </w:tcPr>
          <w:p>
            <w:pPr>
              <w:pStyle w:val="Style26"/>
              <w:widowControl w:val="false"/>
              <w:suppressAutoHyphens w:val="true"/>
              <w:spacing w:before="40" w:after="40"/>
              <w:jc w:val="center"/>
              <w:rPr>
                <w:b/>
                <w:bCs/>
                <w:sz w:val="18"/>
                <w:szCs w:val="18"/>
              </w:rPr>
            </w:pPr>
            <w:r>
              <w:rPr>
                <w:rFonts w:eastAsia="Calibri" w:cs="Arial"/>
                <w:b/>
                <w:bCs/>
                <w:kern w:val="0"/>
                <w:sz w:val="18"/>
                <w:szCs w:val="18"/>
                <w:lang w:val="ru-RU" w:eastAsia="en-US" w:bidi="ar-SA"/>
              </w:rPr>
              <w:t>критерий оценки второго уровня</w:t>
            </w:r>
          </w:p>
        </w:tc>
        <w:tc>
          <w:tcPr>
            <w:tcW w:w="1133" w:type="dxa"/>
            <w:vMerge w:val="continue"/>
            <w:tcBorders/>
          </w:tcPr>
          <w:p>
            <w:pPr>
              <w:pStyle w:val="Style26"/>
              <w:widowControl w:val="false"/>
              <w:suppressAutoHyphens w:val="true"/>
              <w:spacing w:before="40" w:after="40"/>
              <w:jc w:val="center"/>
              <w:rPr>
                <w:sz w:val="18"/>
                <w:szCs w:val="18"/>
              </w:rPr>
            </w:pPr>
            <w:r>
              <w:rPr>
                <w:sz w:val="18"/>
                <w:szCs w:val="18"/>
              </w:rPr>
            </w:r>
          </w:p>
        </w:tc>
        <w:tc>
          <w:tcPr>
            <w:tcW w:w="1702" w:type="dxa"/>
            <w:vMerge w:val="continue"/>
            <w:tcBorders/>
          </w:tcPr>
          <w:p>
            <w:pPr>
              <w:pStyle w:val="Style26"/>
              <w:widowControl w:val="false"/>
              <w:suppressAutoHyphens w:val="true"/>
              <w:spacing w:before="40" w:after="40"/>
              <w:jc w:val="center"/>
              <w:rPr>
                <w:sz w:val="18"/>
                <w:szCs w:val="18"/>
              </w:rPr>
            </w:pPr>
            <w:r>
              <w:rPr>
                <w:sz w:val="18"/>
                <w:szCs w:val="18"/>
              </w:rPr>
            </w:r>
          </w:p>
        </w:tc>
        <w:tc>
          <w:tcPr>
            <w:tcW w:w="5668" w:type="dxa"/>
            <w:vMerge w:val="continue"/>
            <w:tcBorders/>
          </w:tcPr>
          <w:p>
            <w:pPr>
              <w:pStyle w:val="Style26"/>
              <w:widowControl w:val="false"/>
              <w:suppressAutoHyphens w:val="true"/>
              <w:spacing w:before="40" w:after="40"/>
              <w:jc w:val="center"/>
              <w:rPr>
                <w:sz w:val="18"/>
                <w:szCs w:val="18"/>
              </w:rPr>
            </w:pPr>
            <w:r>
              <w:rPr>
                <w:sz w:val="18"/>
                <w:szCs w:val="18"/>
              </w:rPr>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1</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Ценовой частный критерий оценки первого уровня/ «Цена»</w:t>
            </w:r>
          </w:p>
        </w:tc>
        <w:tc>
          <w:tcPr>
            <w:tcW w:w="1843"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Цена договора (стоимость заявки)</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отсутствует</w:t>
            </w:r>
          </w:p>
        </w:tc>
        <w:tc>
          <w:tcPr>
            <w:tcW w:w="1133"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90%</w:t>
              <w:br/>
              <w:t>(В</w:t>
            </w:r>
            <w:r>
              <w:rPr>
                <w:rFonts w:eastAsia="Times New Roman"/>
                <w:kern w:val="0"/>
                <w:sz w:val="18"/>
                <w:szCs w:val="18"/>
                <w:vertAlign w:val="subscript"/>
                <w:lang w:val="ru-RU" w:eastAsia="ru-RU" w:bidi="ar-SA"/>
              </w:rPr>
              <w:t>1</w:t>
            </w:r>
            <w:r>
              <w:rPr>
                <w:rFonts w:eastAsia="Times New Roman"/>
                <w:kern w:val="0"/>
                <w:sz w:val="18"/>
                <w:szCs w:val="18"/>
                <w:lang w:val="ru-RU" w:eastAsia="ru-RU" w:bidi="ar-SA"/>
              </w:rPr>
              <w:t xml:space="preserve"> = 0,90)</w:t>
            </w:r>
          </w:p>
        </w:tc>
        <w:tc>
          <w:tcPr>
            <w:tcW w:w="1702" w:type="dxa"/>
            <w:tcBorders/>
          </w:tcPr>
          <w:p>
            <w:pPr>
              <w:pStyle w:val="31"/>
              <w:widowControl w:val="false"/>
              <w:numPr>
                <w:ilvl w:val="7"/>
                <w:numId w:val="19"/>
              </w:numPr>
              <w:suppressAutoHyphens w:val="true"/>
              <w:spacing w:lineRule="auto" w:line="240" w:before="0" w:after="60"/>
              <w:jc w:val="center"/>
              <w:rPr>
                <w:sz w:val="18"/>
                <w:szCs w:val="18"/>
              </w:rPr>
            </w:pPr>
            <w:r>
              <w:rPr>
                <w:rFonts w:eastAsia="Times New Roman"/>
                <w:kern w:val="0"/>
                <w:sz w:val="18"/>
                <w:szCs w:val="18"/>
                <w:lang w:val="ru-RU" w:eastAsia="ru-RU" w:bidi="ar-SA"/>
              </w:rPr>
              <w:t>Чем меньше цена заявки Участника, тем выше предпочтительность</w:t>
            </w:r>
          </w:p>
        </w:tc>
        <w:tc>
          <w:tcPr>
            <w:tcW w:w="5668" w:type="dxa"/>
            <w:tcBorders/>
          </w:tcPr>
          <w:p>
            <w:pPr>
              <w:pStyle w:val="31"/>
              <w:widowControl w:val="false"/>
              <w:numPr>
                <w:ilvl w:val="7"/>
                <w:numId w:val="19"/>
              </w:numPr>
              <w:suppressAutoHyphens w:val="true"/>
              <w:spacing w:lineRule="auto" w:line="240" w:before="0" w:after="57"/>
              <w:jc w:val="left"/>
              <w:rPr>
                <w:sz w:val="18"/>
                <w:szCs w:val="18"/>
              </w:rPr>
            </w:pPr>
            <w:r>
              <w:rPr>
                <w:rFonts w:eastAsia="Times New Roman"/>
                <w:kern w:val="0"/>
                <w:sz w:val="18"/>
                <w:szCs w:val="18"/>
                <w:lang w:val="ru-RU" w:eastAsia="ru-RU" w:bidi="ar-SA"/>
              </w:rPr>
              <w:t>Расчет оценки предпочтительности по частному критерию по методу «Математическая формула, задающая «функцию ценности»»:</w:t>
            </w:r>
          </w:p>
          <w:p>
            <w:pPr>
              <w:pStyle w:val="23"/>
              <w:widowControl w:val="false"/>
              <w:numPr>
                <w:ilvl w:val="6"/>
                <w:numId w:val="19"/>
              </w:numPr>
              <w:suppressAutoHyphens w:val="true"/>
              <w:spacing w:lineRule="auto" w:line="240" w:before="0" w:after="57"/>
              <w:ind w:left="0" w:hanging="0"/>
              <w:jc w:val="center"/>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fldChar w:fldCharType="begin"/>
            </w:r>
            <w:r>
              <w:rPr>
                <w:sz w:val="18"/>
                <w:szCs w:val="18"/>
              </w:rPr>
              <w:instrText xml:space="preserve">QUOTE</w:instrText>
            </w:r>
            <w:r>
              <w:rPr>
                <w:sz w:val="18"/>
                <w:szCs w:val="18"/>
              </w:rPr>
            </w:r>
            <w:r>
              <w:rPr>
                <w:sz w:val="18"/>
                <w:szCs w:val="18"/>
              </w:rPr>
              <w:fldChar w:fldCharType="separate"/>
            </w:r>
            <w:r>
              <w:rPr>
                <w:sz w:val="18"/>
                <w:szCs w:val="18"/>
              </w:rPr>
            </w:r>
            <w:r/>
            <w:r>
              <w:rPr>
                <w:sz w:val="18"/>
                <w:szCs w:val="18"/>
              </w:rPr>
              <w:fldChar w:fldCharType="end"/>
            </w:r>
            <w:r>
              <w:rPr>
                <w:sz w:val="18"/>
                <w:szCs w:val="18"/>
              </w:rPr>
            </w:r>
          </w:p>
          <w:p>
            <w:pPr>
              <w:pStyle w:val="23"/>
              <w:widowControl w:val="false"/>
              <w:numPr>
                <w:ilvl w:val="6"/>
                <w:numId w:val="19"/>
              </w:numPr>
              <w:suppressAutoHyphens w:val="true"/>
              <w:spacing w:lineRule="auto" w:line="240" w:before="0" w:after="57"/>
              <w:ind w:left="0" w:hanging="0"/>
              <w:jc w:val="left"/>
              <w:rPr>
                <w:sz w:val="18"/>
                <w:szCs w:val="18"/>
              </w:rPr>
            </w:pPr>
            <w:r>
              <w:rPr>
                <w:rFonts w:eastAsia="Times New Roman"/>
                <w:kern w:val="0"/>
                <w:sz w:val="18"/>
                <w:szCs w:val="18"/>
                <w:lang w:val="ru-RU" w:eastAsia="ru-RU" w:bidi="ar-SA"/>
              </w:rPr>
              <w:t>где:</w:t>
            </w:r>
          </w:p>
          <w:p>
            <w:pPr>
              <w:pStyle w:val="23"/>
              <w:widowControl w:val="false"/>
              <w:numPr>
                <w:ilvl w:val="6"/>
                <w:numId w:val="19"/>
              </w:numPr>
              <w:tabs>
                <w:tab w:val="left" w:pos="360" w:leader="none"/>
                <w:tab w:val="left" w:pos="742" w:leader="none"/>
                <w:tab w:val="left" w:pos="1167" w:leader="none"/>
              </w:tabs>
              <w:suppressAutoHyphens w:val="true"/>
              <w:spacing w:lineRule="auto" w:line="240" w:before="0" w:after="57"/>
              <w:ind w:left="0" w:hanging="0"/>
              <w:rPr>
                <w:sz w:val="18"/>
                <w:szCs w:val="18"/>
              </w:rPr>
            </w:pPr>
            <w:r>
              <w:rPr>
                <w:rFonts w:eastAsia="Times New Roman"/>
                <w:kern w:val="0"/>
                <w:sz w:val="18"/>
                <w:szCs w:val="18"/>
                <w:lang w:val="ru-RU" w:eastAsia="ru-RU" w:bidi="ar-SA"/>
              </w:rPr>
              <w:t>Б</w:t>
            </w:r>
            <w:r>
              <w:rPr>
                <w:rFonts w:eastAsia="Times New Roman"/>
                <w:kern w:val="0"/>
                <w:sz w:val="18"/>
                <w:szCs w:val="18"/>
                <w:vertAlign w:val="subscript"/>
                <w:lang w:val="ru-RU" w:eastAsia="ru-RU" w:bidi="ar-SA"/>
              </w:rPr>
              <w:t>1</w:t>
            </w:r>
            <w:r>
              <w:rPr>
                <w:rFonts w:eastAsia="Times New Roman"/>
                <w:kern w:val="0"/>
                <w:sz w:val="18"/>
                <w:szCs w:val="18"/>
                <w:lang w:val="ru-RU" w:eastAsia="ru-RU" w:bidi="ar-SA"/>
              </w:rPr>
              <w:tab/>
              <w:t>–</w:t>
              <w:tab/>
              <w:t>рассчитанная оценка предпочтительности по данному частному критерию оценки в баллах;</w:t>
            </w:r>
          </w:p>
          <w:p>
            <w:pPr>
              <w:pStyle w:val="Normal"/>
              <w:widowControl w:val="false"/>
              <w:suppressAutoHyphens w:val="true"/>
              <w:spacing w:before="0" w:after="57"/>
              <w:jc w:val="both"/>
              <w:rPr>
                <w:rFonts w:cs="Times New Roman"/>
                <w:sz w:val="18"/>
                <w:szCs w:val="18"/>
              </w:rPr>
            </w:pPr>
            <w:r>
              <w:rPr>
                <w:rFonts w:eastAsia="Times New Roman" w:cs="Times New Roman"/>
                <w:kern w:val="0"/>
                <w:sz w:val="18"/>
                <w:szCs w:val="18"/>
                <w:lang w:val="ru-RU" w:eastAsia="en-US" w:bidi="ar-SA"/>
              </w:rPr>
              <w:t>ЦЕНА</w:t>
            </w:r>
            <w:r>
              <w:rPr>
                <w:rFonts w:eastAsia="Times New Roman" w:cs="Times New Roman"/>
                <w:i/>
                <w:iCs/>
                <w:kern w:val="0"/>
                <w:sz w:val="18"/>
                <w:szCs w:val="18"/>
                <w:vertAlign w:val="subscript"/>
                <w:lang w:val="en-US" w:eastAsia="en-US" w:bidi="ar-SA"/>
              </w:rPr>
              <w:t>i</w:t>
            </w:r>
            <w:r>
              <w:rPr>
                <w:rFonts w:eastAsia="Times New Roman" w:cs="Times New Roman"/>
                <w:kern w:val="0"/>
                <w:sz w:val="18"/>
                <w:szCs w:val="18"/>
                <w:lang w:val="ru-RU" w:eastAsia="en-US" w:bidi="ar-SA"/>
              </w:rPr>
              <w:t xml:space="preserve">  – цена договора (заявки), указанная в </w:t>
            </w:r>
            <w:r>
              <w:rPr>
                <w:rFonts w:eastAsia="Times New Roman" w:cs="Times New Roman"/>
                <w:kern w:val="0"/>
                <w:sz w:val="18"/>
                <w:szCs w:val="18"/>
                <w:lang w:val="en-US" w:eastAsia="en-US" w:bidi="ar-SA"/>
              </w:rPr>
              <w:t>i</w:t>
            </w:r>
            <w:r>
              <w:rPr>
                <w:rFonts w:eastAsia="Times New Roman" w:cs="Times New Roman"/>
                <w:kern w:val="0"/>
                <w:sz w:val="18"/>
                <w:szCs w:val="18"/>
                <w:lang w:val="ru-RU" w:eastAsia="en-US" w:bidi="ar-SA"/>
              </w:rPr>
              <w:t>-той заявке (в Коммерческом предложении по установленной в Документации о закупке форме) допущенного Участника, руб. без учета НДС ;</w:t>
            </w:r>
          </w:p>
          <w:p>
            <w:pPr>
              <w:pStyle w:val="Normal"/>
              <w:widowControl w:val="false"/>
              <w:suppressAutoHyphens w:val="true"/>
              <w:spacing w:before="0" w:after="57"/>
              <w:jc w:val="both"/>
              <w:rPr>
                <w:rFonts w:cs="Times New Roman"/>
                <w:sz w:val="18"/>
                <w:szCs w:val="18"/>
              </w:rPr>
            </w:pPr>
            <w:r>
              <w:rPr>
                <w:rFonts w:eastAsia="Times New Roman" w:cs="Times New Roman"/>
                <w:kern w:val="0"/>
                <w:sz w:val="18"/>
                <w:szCs w:val="18"/>
                <w:lang w:val="ru-RU" w:eastAsia="en-US" w:bidi="ar-SA"/>
              </w:rPr>
              <w:t>ЦЕНА</w:t>
            </w:r>
            <w:r>
              <w:rPr>
                <w:rFonts w:eastAsia="Times New Roman" w:cs="Times New Roman"/>
                <w:kern w:val="0"/>
                <w:sz w:val="18"/>
                <w:szCs w:val="18"/>
                <w:vertAlign w:val="subscript"/>
                <w:lang w:val="en-US" w:eastAsia="en-US" w:bidi="ar-SA"/>
              </w:rPr>
              <w:t>min</w:t>
            </w:r>
            <w:r>
              <w:rPr>
                <w:rFonts w:eastAsia="Times New Roman" w:cs="Times New Roman"/>
                <w:kern w:val="0"/>
                <w:sz w:val="18"/>
                <w:szCs w:val="18"/>
                <w:vertAlign w:val="subscript"/>
                <w:lang w:val="ru-RU" w:eastAsia="en-US" w:bidi="ar-SA"/>
              </w:rPr>
              <w:t xml:space="preserve"> </w:t>
            </w:r>
            <w:r>
              <w:rPr>
                <w:rFonts w:eastAsia="Times New Roman" w:cs="Times New Roman"/>
                <w:kern w:val="0"/>
                <w:sz w:val="18"/>
                <w:szCs w:val="18"/>
                <w:lang w:val="ru-RU" w:eastAsia="en-US" w:bidi="ar-SA"/>
              </w:rPr>
              <w:t>– минимальная цена договора (заявки) среди всех допущенных заявок Участников, руб. без учета НДС;</w:t>
            </w:r>
          </w:p>
          <w:p>
            <w:pPr>
              <w:pStyle w:val="23"/>
              <w:widowControl w:val="false"/>
              <w:numPr>
                <w:ilvl w:val="6"/>
                <w:numId w:val="19"/>
              </w:numPr>
              <w:tabs>
                <w:tab w:val="left" w:pos="360" w:leader="none"/>
                <w:tab w:val="left" w:pos="742" w:leader="none"/>
                <w:tab w:val="left" w:pos="1167" w:leader="none"/>
              </w:tabs>
              <w:suppressAutoHyphens w:val="true"/>
              <w:spacing w:lineRule="auto" w:line="240" w:before="0" w:after="57"/>
              <w:ind w:left="0" w:hanging="0"/>
              <w:rPr>
                <w:sz w:val="18"/>
                <w:szCs w:val="18"/>
              </w:rPr>
            </w:pPr>
            <w:r>
              <w:rPr>
                <w:rFonts w:eastAsia="Times New Roman"/>
                <w:kern w:val="0"/>
                <w:sz w:val="18"/>
                <w:szCs w:val="18"/>
                <w:lang w:val="ru-RU" w:eastAsia="ru-RU" w:bidi="ar-SA"/>
              </w:rPr>
              <w:t>Ш</w:t>
              <w:tab/>
              <w:t>–</w:t>
              <w:tab/>
              <w:t>максимально возможный балл (максимальная возможная оценка предпочтительности) по шкале оценок (Ш = 5).</w:t>
            </w:r>
          </w:p>
          <w:p>
            <w:pPr>
              <w:pStyle w:val="31"/>
              <w:widowControl w:val="false"/>
              <w:numPr>
                <w:ilvl w:val="7"/>
                <w:numId w:val="19"/>
              </w:numPr>
              <w:suppressAutoHyphens w:val="true"/>
              <w:spacing w:lineRule="auto" w:line="240" w:before="0" w:after="57"/>
              <w:rPr>
                <w:sz w:val="18"/>
                <w:szCs w:val="18"/>
              </w:rPr>
            </w:pPr>
            <w:r>
              <w:rPr>
                <w:rFonts w:eastAsia="Times New Roman"/>
                <w:kern w:val="0"/>
                <w:sz w:val="18"/>
                <w:szCs w:val="18"/>
                <w:lang w:val="ru-RU" w:eastAsia="ru-RU" w:bidi="ar-SA"/>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Times New Roman"/>
                <w:color w:val="000000"/>
                <w:kern w:val="0"/>
                <w:sz w:val="18"/>
                <w:szCs w:val="18"/>
                <w:lang w:val="ru-RU" w:eastAsia="en-US" w:bidi="ar-SA"/>
              </w:rPr>
              <w:t>.</w:t>
            </w:r>
          </w:p>
          <w:p>
            <w:pPr>
              <w:pStyle w:val="31"/>
              <w:widowControl w:val="false"/>
              <w:numPr>
                <w:ilvl w:val="7"/>
                <w:numId w:val="19"/>
              </w:numPr>
              <w:suppressAutoHyphens w:val="true"/>
              <w:spacing w:lineRule="auto" w:line="240" w:before="0" w:after="57"/>
              <w:jc w:val="left"/>
              <w:rPr>
                <w:sz w:val="18"/>
                <w:szCs w:val="18"/>
              </w:rPr>
            </w:pPr>
            <w:r>
              <w:rPr>
                <w:rFonts w:eastAsia="Times New Roman"/>
                <w:kern w:val="0"/>
                <w:sz w:val="18"/>
                <w:szCs w:val="18"/>
                <w:lang w:val="ru-RU" w:eastAsia="ru-RU" w:bidi="ar-SA"/>
              </w:rPr>
              <w:t>Шкала оценок от 0 до 5 баллов.</w:t>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2</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 xml:space="preserve">Неценовой критерий оценки первого уровня/ </w:t>
              <w:br/>
              <w:t>Тех</w:t>
            </w:r>
          </w:p>
        </w:tc>
        <w:tc>
          <w:tcPr>
            <w:tcW w:w="1843" w:type="dxa"/>
            <w:tcBorders/>
          </w:tcPr>
          <w:p>
            <w:pPr>
              <w:pStyle w:val="31"/>
              <w:widowControl w:val="false"/>
              <w:numPr>
                <w:ilvl w:val="7"/>
                <w:numId w:val="20"/>
              </w:numPr>
              <w:suppressAutoHyphens w:val="true"/>
              <w:spacing w:lineRule="auto" w:line="240" w:before="0" w:after="60"/>
              <w:jc w:val="center"/>
              <w:rPr>
                <w:sz w:val="18"/>
                <w:szCs w:val="18"/>
              </w:rPr>
            </w:pPr>
            <w:r>
              <w:rPr>
                <w:rFonts w:eastAsia="Times New Roman"/>
                <w:kern w:val="0"/>
                <w:sz w:val="18"/>
                <w:szCs w:val="18"/>
                <w:lang w:val="ru-RU" w:eastAsia="ru-RU" w:bidi="ar-SA"/>
              </w:rPr>
              <w:t>Квалификация (предпочтительность) Участника</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ru-RU" w:bidi="ar-SA"/>
              </w:rPr>
              <w:t>отсутствует</w:t>
            </w:r>
          </w:p>
        </w:tc>
        <w:tc>
          <w:tcPr>
            <w:tcW w:w="1133" w:type="dxa"/>
            <w:tcBorders/>
          </w:tcPr>
          <w:p>
            <w:pPr>
              <w:pStyle w:val="31"/>
              <w:widowControl w:val="false"/>
              <w:numPr>
                <w:ilvl w:val="7"/>
                <w:numId w:val="20"/>
              </w:numPr>
              <w:suppressAutoHyphens w:val="true"/>
              <w:spacing w:lineRule="auto" w:line="240" w:before="0" w:after="60"/>
              <w:jc w:val="center"/>
              <w:rPr>
                <w:sz w:val="18"/>
                <w:szCs w:val="18"/>
              </w:rPr>
            </w:pPr>
            <w:r>
              <w:rPr>
                <w:rFonts w:eastAsia="Times New Roman"/>
                <w:kern w:val="0"/>
                <w:sz w:val="18"/>
                <w:szCs w:val="18"/>
                <w:lang w:val="ru-RU" w:eastAsia="ru-RU" w:bidi="ar-SA"/>
              </w:rPr>
              <w:t>5%</w:t>
              <w:br/>
              <w:t>(В</w:t>
            </w:r>
            <w:r>
              <w:rPr>
                <w:rFonts w:eastAsia="Times New Roman"/>
                <w:kern w:val="0"/>
                <w:sz w:val="18"/>
                <w:szCs w:val="18"/>
                <w:vertAlign w:val="subscript"/>
                <w:lang w:val="ru-RU" w:eastAsia="ru-RU" w:bidi="ar-SA"/>
              </w:rPr>
              <w:t>2</w:t>
            </w:r>
            <w:r>
              <w:rPr>
                <w:rFonts w:eastAsia="Times New Roman"/>
                <w:kern w:val="0"/>
                <w:sz w:val="18"/>
                <w:szCs w:val="18"/>
                <w:lang w:val="ru-RU" w:eastAsia="ru-RU" w:bidi="ar-SA"/>
              </w:rPr>
              <w:t xml:space="preserve"> = 0,05)</w:t>
            </w:r>
          </w:p>
        </w:tc>
        <w:tc>
          <w:tcPr>
            <w:tcW w:w="1702" w:type="dxa"/>
            <w:tcBorders/>
          </w:tcPr>
          <w:p>
            <w:pPr>
              <w:pStyle w:val="31"/>
              <w:widowControl w:val="false"/>
              <w:numPr>
                <w:ilvl w:val="7"/>
                <w:numId w:val="21"/>
              </w:numPr>
              <w:suppressAutoHyphens w:val="true"/>
              <w:spacing w:lineRule="auto" w:line="240" w:before="0" w:after="60"/>
              <w:jc w:val="center"/>
              <w:rPr>
                <w:sz w:val="18"/>
                <w:szCs w:val="18"/>
              </w:rPr>
            </w:pPr>
            <w:r>
              <w:rPr>
                <w:rFonts w:eastAsia="Times New Roman"/>
                <w:kern w:val="0"/>
                <w:sz w:val="18"/>
                <w:szCs w:val="18"/>
                <w:lang w:val="ru-RU" w:eastAsia="ru-RU" w:bidi="ar-SA"/>
              </w:rPr>
              <w:t>Чем больше опыт выполнения работ  тем выше предпочтительность</w:t>
            </w:r>
          </w:p>
        </w:tc>
        <w:tc>
          <w:tcPr>
            <w:tcW w:w="5668" w:type="dxa"/>
            <w:tcBorders/>
          </w:tcPr>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 xml:space="preserve">Для целей проведения оценки по данному критерию </w:t>
            </w:r>
            <w:r>
              <w:rPr>
                <w:rFonts w:eastAsia="Times New Roman"/>
                <w:kern w:val="0"/>
                <w:sz w:val="18"/>
                <w:szCs w:val="18"/>
                <w:shd w:fill="FFFF00" w:val="clear"/>
                <w:lang w:val="ru-RU" w:eastAsia="ru-RU" w:bidi="ar-SA"/>
              </w:rPr>
              <w:t>Участник должен предоставить в составе 2-ой части заявки</w:t>
            </w:r>
            <w:r>
              <w:rPr>
                <w:rFonts w:eastAsia="Times New Roman"/>
                <w:kern w:val="0"/>
                <w:sz w:val="18"/>
                <w:szCs w:val="18"/>
                <w:lang w:val="ru-RU" w:eastAsia="ru-RU" w:bidi="ar-SA"/>
              </w:rPr>
              <w:t xml:space="preserve"> (в Справке об опыте Участника по установленной в Документации о закупке форме) сведения о ранее исполненных договорах, подтверждающих наличие совокупного опыта (в рамках одного или нескольких договоров) </w:t>
            </w:r>
            <w:r>
              <w:rPr>
                <w:rFonts w:eastAsia="Calibri"/>
                <w:bCs/>
                <w:kern w:val="0"/>
                <w:sz w:val="18"/>
                <w:szCs w:val="18"/>
                <w:lang w:val="ru-RU" w:eastAsia="en-US" w:bidi="ar-SA"/>
              </w:rPr>
              <w:t xml:space="preserve">выполнения следующих работ: </w:t>
            </w:r>
            <w:r>
              <w:rPr>
                <w:rFonts w:eastAsia="Times New Roman"/>
                <w:b/>
                <w:bCs/>
                <w:kern w:val="0"/>
                <w:sz w:val="18"/>
                <w:szCs w:val="18"/>
                <w:lang w:val="ru-RU" w:eastAsia="en-US" w:bidi="ar-SA"/>
              </w:rPr>
              <w:t>по восстановлению нарушенного благоустройства</w:t>
            </w:r>
            <w:r>
              <w:rPr>
                <w:rFonts w:eastAsia="Times New Roman"/>
                <w:b/>
                <w:i/>
                <w:kern w:val="0"/>
                <w:sz w:val="18"/>
                <w:szCs w:val="18"/>
                <w:lang w:val="ru-RU" w:eastAsia="ru-RU" w:bidi="ar-SA"/>
              </w:rPr>
              <w:t xml:space="preserve"> </w:t>
            </w:r>
            <w:r>
              <w:rPr>
                <w:rFonts w:eastAsia="Times New Roman"/>
                <w:kern w:val="0"/>
                <w:sz w:val="18"/>
                <w:szCs w:val="18"/>
                <w:lang w:val="ru-RU" w:eastAsia="ru-RU" w:bidi="ar-SA"/>
              </w:rPr>
              <w:t>за последние 5 лет</w:t>
            </w:r>
            <w:r>
              <w:rPr>
                <w:rFonts w:eastAsia="Times New Roman"/>
                <w:kern w:val="0"/>
                <w:sz w:val="18"/>
                <w:szCs w:val="18"/>
                <w:lang w:val="ru-RU" w:eastAsia="en-US" w:bidi="ar-SA"/>
              </w:rPr>
              <w:t xml:space="preserve">, </w:t>
            </w:r>
            <w:r>
              <w:rPr>
                <w:rFonts w:eastAsia="Times New Roman"/>
                <w:color w:val="000000" w:themeColor="text1"/>
                <w:kern w:val="0"/>
                <w:sz w:val="18"/>
                <w:szCs w:val="18"/>
                <w:lang w:val="ru-RU" w:eastAsia="ru-RU" w:bidi="ar-SA"/>
              </w:rPr>
              <w:t>предшествующих дате подачи заявки Участником, с учетом правопреемственности</w:t>
            </w:r>
            <w:r>
              <w:rPr>
                <w:rFonts w:eastAsia="Times New Roman"/>
                <w:color w:val="000000" w:themeColor="text1"/>
                <w:kern w:val="0"/>
                <w:sz w:val="18"/>
                <w:szCs w:val="18"/>
                <w:lang w:val="ru-RU" w:eastAsia="en-US" w:bidi="ar-SA"/>
              </w:rPr>
              <w:t>,</w:t>
            </w:r>
            <w:r>
              <w:rPr>
                <w:rFonts w:eastAsia="Times New Roman"/>
                <w:color w:val="000000" w:themeColor="text1"/>
                <w:kern w:val="0"/>
                <w:sz w:val="18"/>
                <w:szCs w:val="18"/>
                <w:lang w:val="ru-RU" w:eastAsia="ru-RU" w:bidi="ar-SA"/>
              </w:rPr>
              <w:t xml:space="preserve"> с </w:t>
            </w:r>
            <w:r>
              <w:rPr>
                <w:rFonts w:eastAsia="Times New Roman"/>
                <w:kern w:val="0"/>
                <w:sz w:val="18"/>
                <w:szCs w:val="18"/>
                <w:lang w:val="ru-RU" w:eastAsia="ru-RU" w:bidi="ar-SA"/>
              </w:rPr>
              <w:t>приложением следующих подтверждающих документов:</w:t>
            </w:r>
          </w:p>
          <w:p>
            <w:pPr>
              <w:pStyle w:val="31"/>
              <w:widowControl w:val="false"/>
              <w:numPr>
                <w:ilvl w:val="7"/>
                <w:numId w:val="22"/>
              </w:numPr>
              <w:suppressAutoHyphens w:val="true"/>
              <w:spacing w:lineRule="auto" w:line="240" w:before="0" w:afterAutospacing="0" w:after="0"/>
              <w:jc w:val="left"/>
              <w:rPr>
                <w:highlight w:val="none"/>
                <w:shd w:fill="FFFF00" w:val="clear"/>
              </w:rPr>
            </w:pPr>
            <w:r>
              <w:rPr>
                <w:rFonts w:eastAsia="Times New Roman"/>
                <w:kern w:val="0"/>
                <w:sz w:val="18"/>
                <w:szCs w:val="18"/>
                <w:shd w:fill="FFFF00" w:val="clear"/>
                <w:lang w:val="ru-RU" w:eastAsia="ru-RU" w:bidi="ar-SA"/>
              </w:rPr>
              <w:t xml:space="preserve">- </w:t>
            </w:r>
            <w:r>
              <w:rPr>
                <w:rFonts w:eastAsia="Times New Roman"/>
                <w:i/>
                <w:color w:val="000000"/>
                <w:kern w:val="0"/>
                <w:sz w:val="18"/>
                <w:szCs w:val="18"/>
                <w:shd w:fill="FFFF00" w:val="clear"/>
                <w:lang w:val="ru-RU" w:eastAsia="en-US" w:bidi="ar-SA"/>
              </w:rPr>
              <w:t>копии исполненных договоров,  подписанных с обеих сторон;</w:t>
            </w:r>
          </w:p>
          <w:p>
            <w:pPr>
              <w:pStyle w:val="31"/>
              <w:widowControl w:val="false"/>
              <w:numPr>
                <w:ilvl w:val="7"/>
                <w:numId w:val="22"/>
              </w:numPr>
              <w:suppressAutoHyphens w:val="true"/>
              <w:spacing w:lineRule="auto" w:line="240" w:before="0" w:afterAutospacing="0" w:after="0"/>
              <w:jc w:val="left"/>
              <w:rPr>
                <w:highlight w:val="none"/>
                <w:shd w:fill="FFFF00" w:val="clear"/>
              </w:rPr>
            </w:pPr>
            <w:r>
              <w:rPr>
                <w:rFonts w:eastAsia="Times New Roman"/>
                <w:kern w:val="0"/>
                <w:sz w:val="18"/>
                <w:szCs w:val="18"/>
                <w:shd w:fill="FFFF00" w:val="clear"/>
                <w:lang w:val="ru-RU" w:eastAsia="ru-RU" w:bidi="ar-SA"/>
              </w:rPr>
              <w:t>-</w:t>
            </w:r>
            <w:r>
              <w:rPr>
                <w:rFonts w:eastAsia="Times New Roman"/>
                <w:i/>
                <w:color w:val="000000"/>
                <w:kern w:val="0"/>
                <w:sz w:val="18"/>
                <w:szCs w:val="18"/>
                <w:shd w:fill="FFFF00" w:val="clear"/>
                <w:lang w:val="ru-RU" w:eastAsia="en-US" w:bidi="ar-SA"/>
              </w:rPr>
              <w:t xml:space="preserve"> копии актов выполненных работ по форме КС-2 и справки о стоимости выполненных работ и затрат по форме КС-3, подписанных с обеих сторон,</w:t>
            </w:r>
          </w:p>
          <w:p>
            <w:pPr>
              <w:pStyle w:val="31"/>
              <w:widowControl w:val="false"/>
              <w:numPr>
                <w:ilvl w:val="7"/>
                <w:numId w:val="22"/>
              </w:numPr>
              <w:suppressAutoHyphens w:val="true"/>
              <w:spacing w:lineRule="auto" w:line="240" w:before="0" w:afterAutospacing="0" w:after="0"/>
              <w:rPr>
                <w:highlight w:val="none"/>
                <w:shd w:fill="FFFF00" w:val="clear"/>
              </w:rPr>
            </w:pPr>
            <w:r>
              <w:rPr>
                <w:rFonts w:eastAsia="Times New Roman"/>
                <w:i/>
                <w:color w:val="000000"/>
                <w:kern w:val="0"/>
                <w:sz w:val="18"/>
                <w:szCs w:val="18"/>
                <w:shd w:fill="FFFF00" w:val="clear"/>
                <w:lang w:val="ru-RU" w:eastAsia="en-US" w:bidi="ar-SA"/>
              </w:rPr>
              <w:t>- либо 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p>
          <w:p>
            <w:pPr>
              <w:pStyle w:val="31"/>
              <w:widowControl w:val="false"/>
              <w:numPr>
                <w:ilvl w:val="7"/>
                <w:numId w:val="22"/>
              </w:numPr>
              <w:suppressAutoHyphens w:val="true"/>
              <w:spacing w:lineRule="auto" w:line="240" w:before="0" w:afterAutospacing="0" w:after="0"/>
              <w:rPr>
                <w:color w:val="000000" w:themeColor="text1"/>
                <w:sz w:val="18"/>
                <w:szCs w:val="18"/>
              </w:rPr>
            </w:pPr>
            <w:r>
              <w:rPr>
                <w:rFonts w:eastAsia="Calibri"/>
                <w:color w:val="000000" w:themeColor="text1"/>
                <w:kern w:val="0"/>
                <w:sz w:val="18"/>
                <w:szCs w:val="18"/>
                <w:lang w:val="ru-RU" w:eastAsia="en-US" w:bidi="ar-SA"/>
              </w:rPr>
              <w:t>К рассмотрению не принимаются подтверждающие документы, не указанные в «Справке об опыте Участника», а также сведе</w:t>
            </w:r>
            <w:bookmarkStart w:id="436" w:name="undefined"/>
            <w:bookmarkEnd w:id="436"/>
            <w:r>
              <w:rPr>
                <w:rFonts w:eastAsia="Calibri"/>
                <w:color w:val="000000" w:themeColor="text1"/>
                <w:kern w:val="0"/>
                <w:sz w:val="18"/>
                <w:szCs w:val="18"/>
                <w:lang w:val="ru-RU" w:eastAsia="en-US" w:bidi="ar-SA"/>
              </w:rPr>
              <w:t>ния, не позволяющие явным (однозначным) образом определить опыт Участника.</w:t>
            </w:r>
          </w:p>
          <w:p>
            <w:pPr>
              <w:pStyle w:val="31"/>
              <w:widowControl w:val="false"/>
              <w:numPr>
                <w:ilvl w:val="7"/>
                <w:numId w:val="22"/>
              </w:numPr>
              <w:suppressAutoHyphens w:val="true"/>
              <w:spacing w:lineRule="auto" w:line="240" w:before="0" w:afterAutospacing="0" w:after="0"/>
              <w:rPr>
                <w:sz w:val="18"/>
                <w:szCs w:val="18"/>
              </w:rPr>
            </w:pPr>
            <w:r>
              <w:rPr>
                <w:rFonts w:eastAsia="Times New Roman"/>
                <w:kern w:val="0"/>
                <w:sz w:val="18"/>
                <w:szCs w:val="18"/>
                <w:lang w:val="ru-RU" w:eastAsia="ru-RU" w:bidi="ar-SA"/>
              </w:rPr>
              <w:t xml:space="preserve">Порядок осуществления оценки (значение оцениваемого параметра), в зависимости от предоставленных в </w:t>
            </w:r>
            <w:r>
              <w:rPr>
                <w:rFonts w:eastAsia="Times New Roman"/>
                <w:i/>
                <w:kern w:val="0"/>
                <w:sz w:val="18"/>
                <w:szCs w:val="18"/>
                <w:lang w:val="en-US" w:eastAsia="ru-RU" w:bidi="ar-SA"/>
              </w:rPr>
              <w:t>i</w:t>
            </w:r>
            <w:r>
              <w:rPr>
                <w:rFonts w:eastAsia="Times New Roman"/>
                <w:kern w:val="0"/>
                <w:sz w:val="18"/>
                <w:szCs w:val="18"/>
                <w:lang w:val="ru-RU" w:eastAsia="ru-RU" w:bidi="ar-SA"/>
              </w:rPr>
              <w:t xml:space="preserve">-ой заявке сведений о наличии у Участника совокупного опыта </w:t>
            </w:r>
            <w:r>
              <w:rPr>
                <w:rFonts w:eastAsia="Times New Roman"/>
                <w:b/>
                <w:bCs/>
                <w:kern w:val="0"/>
                <w:sz w:val="18"/>
                <w:szCs w:val="18"/>
                <w:lang w:val="ru-RU" w:eastAsia="en-US" w:bidi="ar-SA"/>
              </w:rPr>
              <w:t>по восстановлению нарушенного благоустройства</w:t>
            </w:r>
            <w:r>
              <w:rPr>
                <w:rFonts w:eastAsia="Times New Roman"/>
                <w:b/>
                <w:i/>
                <w:kern w:val="0"/>
                <w:sz w:val="18"/>
                <w:szCs w:val="18"/>
                <w:lang w:val="ru-RU" w:eastAsia="ru-RU" w:bidi="ar-SA"/>
              </w:rPr>
              <w:t xml:space="preserve"> </w:t>
            </w:r>
            <w:r>
              <w:rPr>
                <w:rFonts w:eastAsia="Times New Roman"/>
                <w:kern w:val="0"/>
                <w:sz w:val="18"/>
                <w:szCs w:val="18"/>
                <w:lang w:val="ru-RU" w:eastAsia="ru-RU" w:bidi="ar-SA"/>
              </w:rPr>
              <w:t>за последние 5 лет, на общую сумму:</w:t>
            </w:r>
          </w:p>
          <w:p>
            <w:pPr>
              <w:pStyle w:val="31"/>
              <w:widowControl w:val="false"/>
              <w:numPr>
                <w:ilvl w:val="7"/>
                <w:numId w:val="22"/>
              </w:numPr>
              <w:suppressAutoHyphens w:val="true"/>
              <w:spacing w:lineRule="auto" w:line="240" w:before="0" w:afterAutospacing="0" w:after="34"/>
              <w:rPr>
                <w:sz w:val="18"/>
                <w:szCs w:val="18"/>
              </w:rPr>
            </w:pPr>
            <w:r>
              <w:rPr>
                <w:sz w:val="18"/>
                <w:szCs w:val="18"/>
              </w:rPr>
            </w:r>
          </w:p>
          <w:tbl>
            <w:tblPr>
              <w:tblW w:w="566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93"/>
              <w:gridCol w:w="4875"/>
            </w:tblGrid>
            <w:tr>
              <w:trPr>
                <w:trHeight w:val="91" w:hRule="atLeast"/>
                <w:cantSplit w:val="true"/>
              </w:trPr>
              <w:tc>
                <w:tcPr>
                  <w:tcW w:w="793" w:type="dxa"/>
                  <w:tcBorders>
                    <w:bottom w:val="single" w:sz="8" w:space="0" w:color="000000"/>
                    <w:right w:val="single" w:sz="8" w:space="0" w:color="000000"/>
                  </w:tcBorders>
                </w:tcPr>
                <w:p>
                  <w:pPr>
                    <w:pStyle w:val="Normal"/>
                    <w:keepNext w:val="true"/>
                    <w:keepLines/>
                    <w:widowControl w:val="false"/>
                    <w:spacing w:before="0" w:after="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0</w:t>
                  </w:r>
                </w:p>
              </w:tc>
              <w:tc>
                <w:tcPr>
                  <w:tcW w:w="4875" w:type="dxa"/>
                  <w:tcBorders>
                    <w:bottom w:val="single" w:sz="8" w:space="0" w:color="000000"/>
                  </w:tcBorders>
                  <w:tcMar>
                    <w:left w:w="0" w:type="dxa"/>
                    <w:right w:w="10" w:type="dxa"/>
                  </w:tcMar>
                </w:tcPr>
                <w:p>
                  <w:pPr>
                    <w:pStyle w:val="Normal"/>
                    <w:keepNext w:val="true"/>
                    <w:keepLines/>
                    <w:widowControl w:val="false"/>
                    <w:spacing w:before="0" w:after="0"/>
                    <w:rPr>
                      <w:rFonts w:cs="Times New Roman"/>
                      <w:sz w:val="18"/>
                      <w:szCs w:val="18"/>
                    </w:rPr>
                  </w:pPr>
                  <w:r>
                    <w:rPr>
                      <w:rFonts w:eastAsia="Times New Roman" w:cs="Times New Roman"/>
                      <w:sz w:val="18"/>
                      <w:szCs w:val="18"/>
                    </w:rPr>
                    <w:t>Опыт отсутствует/ Опыт не подтвержден;</w:t>
                  </w:r>
                </w:p>
              </w:tc>
            </w:tr>
            <w:tr>
              <w:trPr>
                <w:trHeight w:val="167"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1</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0 % НМЦ «без учета НДС», до 20%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2</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20 % НМЦ «без учета НДС», до 40 %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3</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40 % НМЦ «без учета НДС», до 60 % НМЦ «без учета НДС» (включительно);</w:t>
                  </w:r>
                </w:p>
              </w:tc>
            </w:tr>
            <w:tr>
              <w:trPr>
                <w:trHeight w:val="424" w:hRule="atLeast"/>
                <w:cantSplit w:val="true"/>
              </w:trPr>
              <w:tc>
                <w:tcPr>
                  <w:tcW w:w="793" w:type="dxa"/>
                  <w:tcBorders>
                    <w:bottom w:val="single" w:sz="8" w:space="0" w:color="000000"/>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4</w:t>
                  </w:r>
                </w:p>
              </w:tc>
              <w:tc>
                <w:tcPr>
                  <w:tcW w:w="4875" w:type="dxa"/>
                  <w:tcBorders>
                    <w:bottom w:val="single" w:sz="8" w:space="0" w:color="000000"/>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60 % НМЦ «без учета НДС», до 80 % НМЦ «без учета НДС» (включительно);</w:t>
                  </w:r>
                </w:p>
              </w:tc>
            </w:tr>
            <w:tr>
              <w:trPr>
                <w:trHeight w:val="140" w:hRule="atLeast"/>
                <w:cantSplit w:val="true"/>
              </w:trPr>
              <w:tc>
                <w:tcPr>
                  <w:tcW w:w="793" w:type="dxa"/>
                  <w:tcBorders>
                    <w:right w:val="single" w:sz="8" w:space="0" w:color="000000"/>
                  </w:tcBorders>
                </w:tcPr>
                <w:p>
                  <w:pPr>
                    <w:pStyle w:val="Normal"/>
                    <w:keepNext w:val="true"/>
                    <w:keepLines/>
                    <w:widowControl w:val="false"/>
                    <w:numPr>
                      <w:ilvl w:val="0"/>
                      <w:numId w:val="0"/>
                    </w:numPr>
                    <w:spacing w:before="0" w:after="0"/>
                    <w:ind w:left="0" w:hanging="0"/>
                    <w:rPr>
                      <w:rFonts w:cs="Times New Roman"/>
                      <w:sz w:val="18"/>
                      <w:szCs w:val="18"/>
                    </w:rPr>
                  </w:pPr>
                  <w:r>
                    <w:rPr>
                      <w:rFonts w:eastAsia="Times New Roman" w:cs="Times New Roman"/>
                      <w:sz w:val="18"/>
                      <w:szCs w:val="18"/>
                    </w:rPr>
                    <w:t>Б</w:t>
                  </w:r>
                  <w:r>
                    <w:rPr>
                      <w:rFonts w:eastAsia="Times New Roman" w:cs="Times New Roman"/>
                      <w:sz w:val="18"/>
                      <w:szCs w:val="18"/>
                      <w:vertAlign w:val="subscript"/>
                    </w:rPr>
                    <w:t>2</w:t>
                  </w:r>
                  <w:r>
                    <w:rPr>
                      <w:rFonts w:eastAsia="Times New Roman" w:cs="Times New Roman"/>
                      <w:sz w:val="18"/>
                      <w:szCs w:val="18"/>
                    </w:rPr>
                    <w:t xml:space="preserve"> = 5</w:t>
                  </w:r>
                </w:p>
              </w:tc>
              <w:tc>
                <w:tcPr>
                  <w:tcW w:w="4875" w:type="dxa"/>
                  <w:tcBorders/>
                  <w:tcMar>
                    <w:left w:w="0" w:type="dxa"/>
                    <w:right w:w="10" w:type="dxa"/>
                  </w:tcMar>
                </w:tcPr>
                <w:p>
                  <w:pPr>
                    <w:pStyle w:val="Normal"/>
                    <w:keepNext w:val="true"/>
                    <w:keepLines/>
                    <w:widowControl w:val="false"/>
                    <w:numPr>
                      <w:ilvl w:val="0"/>
                      <w:numId w:val="0"/>
                    </w:numPr>
                    <w:spacing w:before="0" w:after="0"/>
                    <w:ind w:left="71" w:right="137" w:hanging="0"/>
                    <w:rPr>
                      <w:rFonts w:cs="Times New Roman"/>
                      <w:sz w:val="18"/>
                      <w:szCs w:val="18"/>
                    </w:rPr>
                  </w:pPr>
                  <w:r>
                    <w:rPr>
                      <w:rFonts w:eastAsia="Times New Roman" w:cs="Times New Roman"/>
                      <w:sz w:val="18"/>
                      <w:szCs w:val="18"/>
                    </w:rPr>
                    <w:t>более 80 % НМЦ «без учета НДС».</w:t>
                  </w:r>
                </w:p>
              </w:tc>
            </w:tr>
          </w:tbl>
          <w:p>
            <w:pPr>
              <w:pStyle w:val="Normal"/>
              <w:keepNext w:val="true"/>
              <w:keepLines/>
              <w:widowControl w:val="false"/>
              <w:suppressAutoHyphens w:val="true"/>
              <w:spacing w:before="0" w:after="60"/>
              <w:jc w:val="left"/>
              <w:rPr>
                <w:rFonts w:cs="Times New Roman"/>
                <w:sz w:val="18"/>
                <w:szCs w:val="18"/>
              </w:rPr>
            </w:pPr>
            <w:r>
              <w:rPr>
                <w:rFonts w:eastAsia="Times New Roman" w:cs="Times New Roman"/>
                <w:kern w:val="0"/>
                <w:sz w:val="18"/>
                <w:szCs w:val="18"/>
                <w:lang w:val="ru-RU" w:eastAsia="en-US" w:bidi="ar-SA"/>
              </w:rPr>
              <w:t>где:</w:t>
            </w:r>
          </w:p>
          <w:p>
            <w:pPr>
              <w:pStyle w:val="23"/>
              <w:widowControl w:val="false"/>
              <w:numPr>
                <w:ilvl w:val="6"/>
                <w:numId w:val="23"/>
              </w:numPr>
              <w:tabs>
                <w:tab w:val="left" w:pos="360" w:leader="none"/>
                <w:tab w:val="left" w:pos="742" w:leader="none"/>
                <w:tab w:val="left" w:pos="1167" w:leader="none"/>
              </w:tabs>
              <w:suppressAutoHyphens w:val="true"/>
              <w:spacing w:lineRule="auto" w:line="240" w:before="0" w:after="60"/>
              <w:ind w:left="0" w:hanging="0"/>
              <w:jc w:val="left"/>
              <w:rPr>
                <w:sz w:val="18"/>
                <w:szCs w:val="18"/>
              </w:rPr>
            </w:pPr>
            <w:r>
              <w:rPr>
                <w:rFonts w:eastAsia="Times New Roman"/>
                <w:kern w:val="0"/>
                <w:sz w:val="18"/>
                <w:szCs w:val="18"/>
                <w:lang w:val="ru-RU" w:eastAsia="ru-RU" w:bidi="ar-SA"/>
              </w:rPr>
              <w:t>Б</w:t>
            </w:r>
            <w:r>
              <w:rPr>
                <w:rFonts w:eastAsia="Times New Roman"/>
                <w:kern w:val="0"/>
                <w:sz w:val="18"/>
                <w:szCs w:val="18"/>
                <w:vertAlign w:val="subscript"/>
                <w:lang w:val="ru-RU" w:eastAsia="ru-RU" w:bidi="ar-SA"/>
              </w:rPr>
              <w:t>2</w:t>
            </w:r>
            <w:r>
              <w:rPr>
                <w:rFonts w:eastAsia="Times New Roman"/>
                <w:kern w:val="0"/>
                <w:sz w:val="18"/>
                <w:szCs w:val="18"/>
                <w:lang w:val="ru-RU" w:eastAsia="ru-RU" w:bidi="ar-SA"/>
              </w:rPr>
              <w:tab/>
              <w:t>–</w:t>
              <w:tab/>
              <w:t>рассчитанная оценка предпочтительности по данному частному критерию оценки первого уровня в баллах.</w:t>
            </w:r>
          </w:p>
          <w:p>
            <w:pPr>
              <w:pStyle w:val="31"/>
              <w:widowControl w:val="false"/>
              <w:numPr>
                <w:ilvl w:val="7"/>
                <w:numId w:val="23"/>
              </w:numPr>
              <w:suppressAutoHyphens w:val="true"/>
              <w:spacing w:lineRule="auto" w:line="240" w:before="0" w:after="60"/>
              <w:jc w:val="left"/>
              <w:rPr>
                <w:sz w:val="18"/>
                <w:szCs w:val="18"/>
              </w:rPr>
            </w:pPr>
            <w:r>
              <w:rPr>
                <w:rFonts w:eastAsia="Times New Roman"/>
                <w:kern w:val="0"/>
                <w:sz w:val="18"/>
                <w:szCs w:val="18"/>
                <w:lang w:val="ru-RU" w:eastAsia="ru-RU" w:bidi="ar-SA"/>
              </w:rPr>
              <w:t>Опыт, не соответствующий установленным выше требованиям, не оценивается.</w:t>
            </w:r>
          </w:p>
          <w:p>
            <w:pPr>
              <w:pStyle w:val="31"/>
              <w:widowControl w:val="false"/>
              <w:numPr>
                <w:ilvl w:val="7"/>
                <w:numId w:val="23"/>
              </w:numPr>
              <w:suppressAutoHyphens w:val="true"/>
              <w:spacing w:lineRule="auto" w:line="240" w:before="0" w:after="60"/>
              <w:jc w:val="left"/>
              <w:rPr>
                <w:sz w:val="18"/>
                <w:szCs w:val="18"/>
              </w:rPr>
            </w:pPr>
            <w:r>
              <w:rPr>
                <w:rFonts w:eastAsia="Times New Roman"/>
                <w:kern w:val="0"/>
                <w:sz w:val="18"/>
                <w:szCs w:val="18"/>
                <w:lang w:val="ru-RU" w:eastAsia="ru-RU" w:bidi="ar-SA"/>
              </w:rPr>
              <w:t>Шкала оценок от 0 до 5 баллов.</w:t>
            </w:r>
          </w:p>
        </w:tc>
      </w:tr>
      <w:tr>
        <w:trPr/>
        <w:tc>
          <w:tcPr>
            <w:tcW w:w="1052"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3</w:t>
            </w:r>
          </w:p>
        </w:tc>
        <w:tc>
          <w:tcPr>
            <w:tcW w:w="1417"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Неценовой критерий оценки первого уровня/</w:t>
              <w:br/>
              <w:t>Орг</w:t>
            </w:r>
          </w:p>
        </w:tc>
        <w:tc>
          <w:tcPr>
            <w:tcW w:w="1843"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en-US" w:bidi="ar-SA"/>
              </w:rPr>
              <w:t>Финансовое состояние (устойчивость) Участника</w:t>
            </w:r>
          </w:p>
        </w:tc>
        <w:tc>
          <w:tcPr>
            <w:tcW w:w="1560" w:type="dxa"/>
            <w:tcBorders/>
          </w:tcPr>
          <w:p>
            <w:pPr>
              <w:pStyle w:val="Style26"/>
              <w:widowControl w:val="false"/>
              <w:suppressAutoHyphens w:val="true"/>
              <w:spacing w:before="40" w:after="40"/>
              <w:jc w:val="center"/>
              <w:rPr>
                <w:sz w:val="18"/>
                <w:szCs w:val="18"/>
              </w:rPr>
            </w:pPr>
            <w:r>
              <w:rPr>
                <w:rFonts w:eastAsia="Calibri" w:cs="Arial"/>
                <w:kern w:val="0"/>
                <w:sz w:val="18"/>
                <w:szCs w:val="18"/>
                <w:lang w:val="ru-RU" w:eastAsia="ru-RU" w:bidi="ar-SA"/>
              </w:rPr>
              <w:t>отсутствует</w:t>
            </w:r>
          </w:p>
        </w:tc>
        <w:tc>
          <w:tcPr>
            <w:tcW w:w="1133" w:type="dxa"/>
            <w:tcBorders/>
          </w:tcPr>
          <w:p>
            <w:pPr>
              <w:pStyle w:val="Normal"/>
              <w:widowControl w:val="false"/>
              <w:numPr>
                <w:ilvl w:val="0"/>
                <w:numId w:val="0"/>
              </w:numPr>
              <w:suppressAutoHyphens w:val="true"/>
              <w:spacing w:before="0" w:after="60"/>
              <w:ind w:left="0" w:hanging="0"/>
              <w:contextualSpacing/>
              <w:jc w:val="center"/>
              <w:rPr>
                <w:sz w:val="18"/>
                <w:szCs w:val="18"/>
              </w:rPr>
            </w:pPr>
            <w:r>
              <w:rPr>
                <w:rFonts w:eastAsia="Calibri" w:cs="Arial"/>
                <w:kern w:val="0"/>
                <w:sz w:val="18"/>
                <w:szCs w:val="18"/>
                <w:lang w:val="en-US" w:eastAsia="en-US" w:bidi="ar-SA"/>
              </w:rPr>
              <w:t>5%</w:t>
            </w:r>
          </w:p>
          <w:p>
            <w:pPr>
              <w:pStyle w:val="Normal"/>
              <w:widowControl w:val="false"/>
              <w:numPr>
                <w:ilvl w:val="0"/>
                <w:numId w:val="0"/>
              </w:numPr>
              <w:suppressAutoHyphens w:val="true"/>
              <w:spacing w:before="0" w:after="60"/>
              <w:ind w:left="0" w:hanging="0"/>
              <w:contextualSpacing/>
              <w:jc w:val="center"/>
              <w:rPr>
                <w:sz w:val="18"/>
                <w:szCs w:val="18"/>
              </w:rPr>
            </w:pPr>
            <w:r>
              <w:rPr>
                <w:rFonts w:eastAsia="Calibri" w:cs="Arial"/>
                <w:kern w:val="0"/>
                <w:sz w:val="18"/>
                <w:szCs w:val="18"/>
                <w:lang w:val="en-US" w:eastAsia="en-US" w:bidi="ar-SA"/>
              </w:rPr>
              <w:t>(В</w:t>
            </w:r>
            <w:r>
              <w:rPr>
                <w:rFonts w:eastAsia="Calibri" w:cs="Arial"/>
                <w:kern w:val="0"/>
                <w:sz w:val="18"/>
                <w:szCs w:val="18"/>
                <w:vertAlign w:val="subscript"/>
                <w:lang w:val="en-US" w:eastAsia="en-US" w:bidi="ar-SA"/>
              </w:rPr>
              <w:t>3</w:t>
            </w:r>
            <w:r>
              <w:rPr>
                <w:rFonts w:eastAsia="Calibri" w:cs="Arial"/>
                <w:kern w:val="0"/>
                <w:sz w:val="18"/>
                <w:szCs w:val="18"/>
                <w:lang w:val="en-US" w:eastAsia="en-US" w:bidi="ar-SA"/>
              </w:rPr>
              <w:t xml:space="preserve"> = 0,05)</w:t>
            </w:r>
          </w:p>
        </w:tc>
        <w:tc>
          <w:tcPr>
            <w:tcW w:w="1702" w:type="dxa"/>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5668" w:type="dxa"/>
            <w:tcBorders/>
          </w:tcPr>
          <w:p>
            <w:pPr>
              <w:pStyle w:val="Style26"/>
              <w:widowControl w:val="false"/>
              <w:suppressAutoHyphens w:val="true"/>
              <w:spacing w:before="0" w:after="57"/>
              <w:rPr>
                <w:sz w:val="18"/>
                <w:szCs w:val="18"/>
              </w:rPr>
            </w:pPr>
            <w:r>
              <w:rPr>
                <w:rFonts w:eastAsia="Calibri" w:cs="Arial"/>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6"/>
              <w:widowControl w:val="false"/>
              <w:suppressAutoHyphens w:val="true"/>
              <w:spacing w:before="0" w:after="57"/>
              <w:rPr>
                <w:sz w:val="18"/>
                <w:szCs w:val="18"/>
              </w:rPr>
            </w:pPr>
            <w:r>
              <w:rPr>
                <w:rFonts w:eastAsia="Calibri" w:cs="Arial"/>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Arial"/>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6"/>
              <w:keepNext w:val="true"/>
              <w:widowControl w:val="false"/>
              <w:numPr>
                <w:ilvl w:val="0"/>
                <w:numId w:val="18"/>
              </w:numPr>
              <w:suppressAutoHyphens w:val="true"/>
              <w:spacing w:before="0" w:after="57"/>
              <w:ind w:left="142" w:hanging="142"/>
              <w:rPr>
                <w:sz w:val="18"/>
                <w:szCs w:val="18"/>
              </w:rPr>
            </w:pPr>
            <w:r>
              <w:rPr>
                <w:rFonts w:eastAsia="Calibri" w:cs="Arial"/>
                <w:kern w:val="0"/>
                <w:sz w:val="18"/>
                <w:szCs w:val="18"/>
                <w:lang w:val="ru-RU" w:eastAsia="en-US" w:bidi="ar-SA"/>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rFonts w:eastAsia="Calibri" w:cs="Arial"/>
                <w:kern w:val="0"/>
                <w:sz w:val="18"/>
                <w:szCs w:val="18"/>
                <w:lang w:val="ru-RU" w:eastAsia="en-US" w:bidi="ar-SA"/>
              </w:rPr>
              <w:footnoteReference w:id="13"/>
            </w:r>
            <w:r>
              <w:rPr>
                <w:rFonts w:eastAsia="Calibri" w:cs="Arial"/>
                <w:kern w:val="0"/>
                <w:sz w:val="18"/>
                <w:szCs w:val="18"/>
                <w:lang w:val="ru-RU" w:eastAsia="en-US" w:bidi="ar-SA"/>
              </w:rPr>
              <w:t>;</w:t>
            </w:r>
          </w:p>
          <w:p>
            <w:pPr>
              <w:pStyle w:val="Style26"/>
              <w:keepNext w:val="true"/>
              <w:widowControl w:val="false"/>
              <w:numPr>
                <w:ilvl w:val="0"/>
                <w:numId w:val="18"/>
              </w:numPr>
              <w:suppressAutoHyphens w:val="true"/>
              <w:spacing w:before="0" w:after="57"/>
              <w:ind w:left="142" w:hanging="142"/>
              <w:rPr>
                <w:sz w:val="18"/>
                <w:szCs w:val="18"/>
              </w:rPr>
            </w:pPr>
            <w:r>
              <w:rPr>
                <w:rFonts w:eastAsia="Calibri" w:cs="Arial"/>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p>
          <w:p>
            <w:pPr>
              <w:pStyle w:val="Style26"/>
              <w:keepNext w:val="true"/>
              <w:widowControl w:val="false"/>
              <w:suppressAutoHyphens w:val="true"/>
              <w:spacing w:before="0" w:after="57"/>
              <w:ind w:left="142" w:hanging="0"/>
              <w:rPr>
                <w:sz w:val="18"/>
                <w:szCs w:val="18"/>
              </w:rPr>
            </w:pPr>
            <w:r>
              <w:rPr>
                <w:rFonts w:eastAsia="Calibri" w:cs="Arial"/>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информационном ресурсе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suppressAutoHyphens w:val="true"/>
              <w:spacing w:before="0" w:after="57"/>
              <w:ind w:left="142" w:hanging="0"/>
              <w:rPr>
                <w:sz w:val="18"/>
                <w:szCs w:val="18"/>
              </w:rPr>
            </w:pPr>
            <w:r>
              <w:rPr>
                <w:rFonts w:eastAsia="Calibri" w:cs="Arial"/>
                <w:kern w:val="0"/>
                <w:sz w:val="18"/>
                <w:szCs w:val="18"/>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numPr>
                <w:ilvl w:val="0"/>
                <w:numId w:val="18"/>
              </w:numPr>
              <w:suppressAutoHyphens w:val="true"/>
              <w:spacing w:before="0" w:after="57"/>
              <w:ind w:left="284" w:hanging="142"/>
              <w:rPr>
                <w:sz w:val="18"/>
                <w:szCs w:val="18"/>
              </w:rPr>
            </w:pPr>
            <w:r>
              <w:rPr>
                <w:rFonts w:eastAsia="Calibri" w:cs="Arial"/>
                <w:kern w:val="0"/>
                <w:sz w:val="18"/>
                <w:szCs w:val="18"/>
                <w:lang w:val="ru-RU" w:eastAsia="en-US" w:bidi="ar-SA"/>
              </w:rPr>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keepNext w:val="true"/>
              <w:widowControl w:val="false"/>
              <w:numPr>
                <w:ilvl w:val="0"/>
                <w:numId w:val="18"/>
              </w:numPr>
              <w:suppressAutoHyphens w:val="true"/>
              <w:spacing w:before="0" w:after="57"/>
              <w:ind w:left="284" w:hanging="142"/>
              <w:rPr>
                <w:sz w:val="18"/>
                <w:szCs w:val="18"/>
              </w:rPr>
            </w:pPr>
            <w:r>
              <w:rPr>
                <w:rFonts w:eastAsia="Calibri" w:cs="Arial"/>
                <w:kern w:val="0"/>
                <w:sz w:val="18"/>
                <w:szCs w:val="18"/>
                <w:lang w:val="ru-RU" w:eastAsia="en-US" w:bidi="ar-SA"/>
              </w:rPr>
              <w:t>дополнительных сведений о размере всех требуемых показателей согласно данным бухгалтерской (финансовой) отчетности по установленной форме (</w:t>
            </w:r>
            <w:hyperlink w:anchor="Прил11_Данные_бухотчетность" w:tgtFrame="#Прил11_Данные_бухотчетность">
              <w:r>
                <w:rPr>
                  <w:rStyle w:val="Hyperlink"/>
                  <w:rFonts w:eastAsia="Calibri" w:cs="Arial"/>
                  <w:kern w:val="0"/>
                  <w:sz w:val="18"/>
                  <w:szCs w:val="18"/>
                  <w:lang w:val="ru-RU" w:eastAsia="en-US" w:bidi="ar-SA"/>
                </w:rPr>
                <w:t>Приложение № 11</w:t>
              </w:r>
            </w:hyperlink>
            <w:r>
              <w:rPr>
                <w:rFonts w:eastAsia="Calibri" w:cs="Arial"/>
                <w:kern w:val="0"/>
                <w:sz w:val="18"/>
                <w:szCs w:val="18"/>
                <w:lang w:val="ru-RU" w:eastAsia="en-US" w:bidi="ar-SA"/>
              </w:rPr>
              <w:t>).</w:t>
            </w:r>
          </w:p>
          <w:p>
            <w:pPr>
              <w:pStyle w:val="Style26"/>
              <w:keepNext w:val="true"/>
              <w:widowControl w:val="false"/>
              <w:suppressAutoHyphens w:val="true"/>
              <w:spacing w:before="0" w:after="57"/>
              <w:rPr>
                <w:sz w:val="18"/>
                <w:szCs w:val="18"/>
              </w:rPr>
            </w:pPr>
            <w:r>
              <w:rPr>
                <w:rFonts w:eastAsia="Calibri" w:cs="Arial"/>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1442"/>
              <w:tblW w:w="56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652"/>
              <w:gridCol w:w="4960"/>
            </w:tblGrid>
            <w:tr>
              <w:trPr>
                <w:trHeight w:val="3118" w:hRule="atLeast"/>
              </w:trPr>
              <w:tc>
                <w:tcPr>
                  <w:tcW w:w="652" w:type="dxa"/>
                  <w:tcBorders>
                    <w:top w:val="nil"/>
                    <w:left w:val="nil"/>
                  </w:tcBorders>
                </w:tcPr>
                <w:p>
                  <w:pPr>
                    <w:pStyle w:val="Style26"/>
                    <w:widowControl w:val="false"/>
                    <w:suppressAutoHyphens w:val="true"/>
                    <w:spacing w:before="40" w:after="40"/>
                    <w:jc w:val="left"/>
                    <w:rPr>
                      <w:bCs/>
                      <w:sz w:val="18"/>
                      <w:szCs w:val="18"/>
                    </w:rPr>
                  </w:pPr>
                  <w:r>
                    <w:rPr>
                      <w:b/>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4960" w:type="dxa"/>
                  <w:tcBorders>
                    <w:top w:val="nil"/>
                    <w:right w:val="nil"/>
                  </w:tcBorders>
                </w:tcPr>
                <w:p>
                  <w:pPr>
                    <w:pStyle w:val="Style26"/>
                    <w:widowControl w:val="false"/>
                    <w:suppressAutoHyphens w:val="true"/>
                    <w:spacing w:before="40" w:after="40"/>
                    <w:rPr>
                      <w:sz w:val="18"/>
                      <w:szCs w:val="18"/>
                    </w:rPr>
                  </w:pPr>
                  <w:r>
                    <w:rPr>
                      <w:rFonts w:eastAsia="Calibri" w:cs="Arial"/>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26"/>
                    <w:widowControl w:val="false"/>
                    <w:suppressAutoHyphens w:val="true"/>
                    <w:spacing w:before="40" w:after="40"/>
                    <w:rPr>
                      <w:i/>
                      <w:i/>
                      <w:iCs/>
                      <w:sz w:val="18"/>
                      <w:szCs w:val="18"/>
                    </w:rPr>
                  </w:pPr>
                  <w:r>
                    <w:rPr>
                      <w:rFonts w:eastAsia="Calibri" w:cs="Arial"/>
                      <w:b w:val="false"/>
                      <w:i/>
                      <w:iCs/>
                      <w:kern w:val="0"/>
                      <w:sz w:val="18"/>
                      <w:szCs w:val="18"/>
                      <w:lang w:val="ru-RU" w:eastAsia="en-US" w:bidi="ar-SA"/>
                    </w:rPr>
                    <w:t>или</w:t>
                  </w:r>
                </w:p>
                <w:p>
                  <w:pPr>
                    <w:pStyle w:val="Style26"/>
                    <w:widowControl w:val="false"/>
                    <w:suppressAutoHyphens w:val="true"/>
                    <w:spacing w:before="40" w:after="40"/>
                    <w:rPr>
                      <w:sz w:val="18"/>
                      <w:szCs w:val="18"/>
                    </w:rPr>
                  </w:pPr>
                  <w:r>
                    <w:rPr>
                      <w:rFonts w:eastAsia="Calibri" w:cs="Arial"/>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6"/>
                    <w:widowControl w:val="false"/>
                    <w:numPr>
                      <w:ilvl w:val="0"/>
                      <w:numId w:val="18"/>
                    </w:numPr>
                    <w:suppressAutoHyphens w:val="true"/>
                    <w:spacing w:before="40" w:after="40"/>
                    <w:ind w:left="142" w:hanging="142"/>
                    <w:rPr>
                      <w:sz w:val="18"/>
                      <w:szCs w:val="18"/>
                    </w:rPr>
                  </w:pPr>
                  <w:r>
                    <w:rPr>
                      <w:rFonts w:eastAsia="Calibri" w:cs="Arial"/>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6"/>
                    <w:widowControl w:val="false"/>
                    <w:numPr>
                      <w:ilvl w:val="0"/>
                      <w:numId w:val="18"/>
                    </w:numPr>
                    <w:suppressAutoHyphens w:val="true"/>
                    <w:spacing w:before="40" w:after="40"/>
                    <w:ind w:left="142" w:hanging="142"/>
                    <w:rPr>
                      <w:sz w:val="18"/>
                      <w:szCs w:val="18"/>
                    </w:rPr>
                  </w:pPr>
                  <w:r>
                    <w:rPr>
                      <w:rFonts w:eastAsia="Calibri" w:cs="Arial"/>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rHeight w:val="696" w:hRule="atLeast"/>
              </w:trPr>
              <w:tc>
                <w:tcPr>
                  <w:tcW w:w="652" w:type="dxa"/>
                  <w:tcBorders>
                    <w:left w:val="nil"/>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4960" w:type="dxa"/>
                  <w:tcBorders>
                    <w:right w:val="nil"/>
                  </w:tcBorders>
                </w:tcPr>
                <w:p>
                  <w:pPr>
                    <w:pStyle w:val="Style26"/>
                    <w:widowControl w:val="false"/>
                    <w:suppressAutoHyphens w:val="true"/>
                    <w:spacing w:before="40" w:after="40"/>
                    <w:rPr>
                      <w:sz w:val="18"/>
                      <w:szCs w:val="18"/>
                    </w:rPr>
                  </w:pPr>
                  <w:r>
                    <w:rPr>
                      <w:rFonts w:eastAsia="Calibri" w:cs="Arial"/>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rHeight w:val="696" w:hRule="atLeast"/>
              </w:trPr>
              <w:tc>
                <w:tcPr>
                  <w:tcW w:w="652" w:type="dxa"/>
                  <w:tcBorders>
                    <w:left w:val="nil"/>
                    <w:bottom w:val="nil"/>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4960" w:type="dxa"/>
                  <w:tcBorders>
                    <w:bottom w:val="nil"/>
                    <w:right w:val="nil"/>
                  </w:tcBorders>
                </w:tcPr>
                <w:p>
                  <w:pPr>
                    <w:pStyle w:val="Style26"/>
                    <w:widowControl w:val="false"/>
                    <w:suppressAutoHyphens w:val="true"/>
                    <w:spacing w:before="40" w:after="40"/>
                    <w:rPr>
                      <w:sz w:val="18"/>
                      <w:szCs w:val="18"/>
                    </w:rPr>
                  </w:pPr>
                  <w:r>
                    <w:rPr>
                      <w:rFonts w:eastAsia="Calibri" w:cs="Arial"/>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26"/>
              <w:widowControl w:val="false"/>
              <w:suppressAutoHyphens w:val="true"/>
              <w:spacing w:before="40" w:after="57"/>
              <w:rPr>
                <w:sz w:val="18"/>
                <w:szCs w:val="18"/>
              </w:rPr>
            </w:pPr>
            <w:r>
              <w:rPr>
                <w:rFonts w:eastAsia="Calibri" w:cs="Arial"/>
                <w:kern w:val="0"/>
                <w:sz w:val="18"/>
                <w:szCs w:val="18"/>
                <w:lang w:val="ru-RU" w:eastAsia="en-US" w:bidi="ar-SA"/>
              </w:rPr>
              <w:t>где:</w:t>
            </w:r>
          </w:p>
          <w:p>
            <w:pPr>
              <w:pStyle w:val="Style26"/>
              <w:widowControl w:val="false"/>
              <w:suppressAutoHyphens w:val="true"/>
              <w:spacing w:before="40" w:after="57"/>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рассчитанная оценка предпочтительности по частному критерию оценки в баллах.</w:t>
            </w:r>
          </w:p>
          <w:p>
            <w:pPr>
              <w:pStyle w:val="Style26"/>
              <w:widowControl w:val="false"/>
              <w:suppressAutoHyphens w:val="true"/>
              <w:spacing w:before="40" w:after="57"/>
              <w:rPr>
                <w:sz w:val="18"/>
                <w:szCs w:val="18"/>
              </w:rPr>
            </w:pPr>
            <w:r>
              <w:rPr>
                <w:rFonts w:eastAsia="Calibri" w:cs="Arial"/>
                <w:kern w:val="0"/>
                <w:sz w:val="18"/>
                <w:szCs w:val="18"/>
                <w:lang w:val="ru-RU" w:eastAsia="en-US" w:bidi="ar-SA"/>
              </w:rPr>
              <w:t>Шкала оценок от 0 до 5 баллов.</w:t>
            </w:r>
          </w:p>
          <w:p>
            <w:pPr>
              <w:pStyle w:val="Style26"/>
              <w:widowControl w:val="false"/>
              <w:suppressAutoHyphens w:val="true"/>
              <w:spacing w:before="40" w:after="57"/>
              <w:rPr>
                <w:i/>
                <w:i/>
                <w:iCs/>
                <w:sz w:val="18"/>
                <w:szCs w:val="18"/>
              </w:rPr>
            </w:pPr>
            <w:r>
              <w:rPr>
                <w:rFonts w:eastAsia="Calibri" w:cs="Arial"/>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tc>
      </w:tr>
      <w:tr>
        <w:trPr/>
        <w:tc>
          <w:tcPr>
            <w:tcW w:w="5872" w:type="dxa"/>
            <w:gridSpan w:val="4"/>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Итоговая оценка предпочтительности заявки:</w:t>
            </w:r>
          </w:p>
        </w:tc>
        <w:tc>
          <w:tcPr>
            <w:tcW w:w="8503" w:type="dxa"/>
            <w:gridSpan w:val="3"/>
            <w:tcBorders/>
          </w:tcPr>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Arial"/>
                <w:kern w:val="0"/>
                <w:sz w:val="18"/>
                <w:szCs w:val="18"/>
                <w:lang w:val="ru-RU" w:eastAsia="en-US" w:bidi="ar-SA"/>
              </w:rPr>
              <w:t>-ой заявки:</w:t>
            </w:r>
          </w:p>
          <w:p>
            <w:pPr>
              <w:pStyle w:val="Style26"/>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6"/>
              <w:widowControl w:val="false"/>
              <w:suppressAutoHyphens w:val="true"/>
              <w:spacing w:before="40" w:after="40"/>
              <w:jc w:val="left"/>
              <w:rPr>
                <w:sz w:val="18"/>
                <w:szCs w:val="18"/>
              </w:rPr>
            </w:pPr>
            <w:r>
              <w:rPr>
                <w:rFonts w:eastAsia="Calibri" w:cs="Arial"/>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рассчитанная итоговая оценка предпочтительности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-тому критерию оценки первого уровня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Arial"/>
                <w:kern w:val="0"/>
                <w:sz w:val="18"/>
                <w:szCs w:val="18"/>
                <w:lang w:val="ru-RU" w:eastAsia="en-US" w:bidi="ar-SA"/>
              </w:rPr>
              <w:t xml:space="preserve"> – </w:t>
            </w:r>
            <w:r>
              <w:rPr>
                <w:rFonts w:eastAsia="Calibri" w:cs="Arial"/>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Arial"/>
                <w:kern w:val="0"/>
                <w:sz w:val="18"/>
                <w:szCs w:val="18"/>
                <w:lang w:val="ru-RU" w:eastAsia="en-US" w:bidi="ar-SA"/>
              </w:rPr>
              <w:t>-ого критерия оценки первого уровня.</w:t>
            </w:r>
          </w:p>
          <w:p>
            <w:pPr>
              <w:pStyle w:val="Style26"/>
              <w:widowControl w:val="false"/>
              <w:suppressAutoHyphens w:val="true"/>
              <w:spacing w:before="40" w:after="40"/>
              <w:jc w:val="left"/>
              <w:rPr>
                <w:i/>
                <w:i/>
                <w:iCs/>
                <w:sz w:val="18"/>
                <w:szCs w:val="18"/>
              </w:rPr>
            </w:pPr>
            <w:r>
              <w:rPr>
                <w:rFonts w:eastAsia="Calibri" w:cs="Arial"/>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spacing w:before="0" w:after="0"/>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30"/>
          <w:headerReference w:type="first" r:id="rId31"/>
          <w:footerReference w:type="default" r:id="rId32"/>
          <w:footerReference w:type="first" r:id="rId33"/>
          <w:footnotePr>
            <w:numFmt w:val="decimal"/>
          </w:footnotePr>
          <w:type w:val="nextPage"/>
          <w:pgSz w:orient="landscape" w:w="16838" w:h="11906"/>
          <w:pgMar w:left="851" w:right="538" w:gutter="0" w:header="567" w:top="1134" w:footer="567" w:bottom="850"/>
          <w:pgNumType w:fmt="decimal"/>
          <w:formProt w:val="false"/>
          <w:textDirection w:val="lrTb"/>
          <w:docGrid w:type="default" w:linePitch="360" w:charSpace="0"/>
        </w:sectPr>
        <w:pStyle w:val="Style22"/>
        <w:spacing w:before="0" w:after="0"/>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0"/>
        <w:spacing w:before="0" w:after="0"/>
        <w:rPr/>
      </w:pPr>
      <w:bookmarkStart w:id="437" w:name="__RefHeading___Toc13032_2134259642"/>
      <w:bookmarkStart w:id="438" w:name="_Toc62"/>
      <w:bookmarkStart w:id="439" w:name="_Ref125360420"/>
      <w:bookmarkStart w:id="440" w:name="Прил09_ОбоснованиеНМЦ"/>
      <w:bookmarkEnd w:id="437"/>
      <w:bookmarkEnd w:id="440"/>
      <w:r>
        <w:rPr/>
        <w:t>Приложение № 9 – Обоснование НМЦ</w:t>
      </w:r>
      <w:bookmarkEnd w:id="438"/>
      <w:bookmarkEnd w:id="439"/>
    </w:p>
    <w:p>
      <w:pPr>
        <w:pStyle w:val="Style21"/>
        <w:rPr/>
      </w:pPr>
      <w:bookmarkStart w:id="441" w:name="__RefHeading___Toc13034_2134259642"/>
      <w:bookmarkStart w:id="442" w:name="_Toc63"/>
      <w:bookmarkEnd w:id="441"/>
      <w:r>
        <w:rPr/>
        <w:t>Пояснения к Обоснованию НМЦ</w:t>
      </w:r>
      <w:bookmarkEnd w:id="442"/>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spacing w:before="0" w:after="0"/>
        <w:rPr/>
      </w:pPr>
      <w:bookmarkStart w:id="443" w:name="__RefHeading___Toc13036_2134259642"/>
      <w:bookmarkStart w:id="444" w:name="_Toc64"/>
      <w:bookmarkStart w:id="445" w:name="Прил10_ФормаЗаявкиНаАккредитацию"/>
      <w:bookmarkEnd w:id="443"/>
      <w:bookmarkEnd w:id="445"/>
      <w:r>
        <w:rPr/>
        <w:t>Приложение № 10 – Форма Заявки на аккредитацию</w:t>
      </w:r>
      <w:bookmarkEnd w:id="444"/>
    </w:p>
    <w:p>
      <w:pPr>
        <w:pStyle w:val="Style21"/>
        <w:rPr/>
      </w:pPr>
      <w:bookmarkStart w:id="446" w:name="__RefHeading___Toc13038_2134259642"/>
      <w:bookmarkStart w:id="447" w:name="_Toc65"/>
      <w:bookmarkEnd w:id="446"/>
      <w:r>
        <w:rPr/>
        <w:t>Пояснения к форме Заявки на аккредитацию</w:t>
      </w:r>
      <w:bookmarkEnd w:id="447"/>
    </w:p>
    <w:p>
      <w:pPr>
        <w:pStyle w:val="Style22"/>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2"/>
        <w:spacing w:before="0" w:after="0"/>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48"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48"/>
      <w:r>
        <w:rPr/>
        <w:t>.</w:t>
      </w:r>
    </w:p>
    <w:p>
      <w:pPr>
        <w:pStyle w:val="Style22"/>
        <w:numPr>
          <w:ilvl w:val="0"/>
          <w:numId w:val="0"/>
        </w:numPr>
        <w:spacing w:before="0" w:after="0"/>
        <w:ind w:left="1134" w:hanging="0"/>
        <w:rPr/>
      </w:pPr>
      <w:r>
        <w:rPr/>
      </w:r>
    </w:p>
    <w:p>
      <w:pPr>
        <w:pStyle w:val="Style22"/>
        <w:numPr>
          <w:ilvl w:val="0"/>
          <w:numId w:val="0"/>
        </w:numPr>
        <w:spacing w:before="0" w:after="0"/>
        <w:ind w:left="1134" w:hanging="0"/>
        <w:rPr/>
      </w:pPr>
      <w:r>
        <w:rPr/>
        <w:t xml:space="preserve">                                               </w:t>
      </w:r>
      <w:r>
        <w:rPr/>
        <w:object>
          <v:shapetype id="_x0000_tole_rId34" coordsize="21600,21600" o:spt="ole_rId3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4" type="_x0000_tole_rId34" style="width:78.1pt;height:48.9pt;mso-wrap-distance-right:0pt" filled="f" o:ole="">
            <v:imagedata r:id="rId35" o:title=""/>
          </v:shape>
          <o:OLEObject Type="Embed" ProgID="Excel.Sheet.12" ShapeID="ole_rId34" DrawAspect="Icon" ObjectID="_1119927145" r:id="rId34"/>
        </w:object>
      </w:r>
    </w:p>
    <w:p>
      <w:pPr>
        <w:pStyle w:val="Style26"/>
        <w:jc w:val="center"/>
        <w:rPr/>
      </w:pPr>
      <w:r>
        <w:rPr/>
      </w:r>
    </w:p>
    <w:p>
      <w:pPr>
        <w:pStyle w:val="Normal"/>
        <w:rPr/>
      </w:pPr>
      <w:r>
        <w:rPr/>
      </w:r>
    </w:p>
    <w:p>
      <w:pPr>
        <w:pStyle w:val="Style20"/>
        <w:spacing w:before="0" w:after="0"/>
        <w:rPr/>
      </w:pPr>
      <w:bookmarkStart w:id="449" w:name="__RefHeading___Toc13040_2134259642"/>
      <w:bookmarkStart w:id="450" w:name="_Toc66"/>
      <w:bookmarkStart w:id="451" w:name="Прил11_Данные_бухотчетность"/>
      <w:bookmarkEnd w:id="449"/>
      <w:r>
        <w:rPr/>
        <w:t xml:space="preserve">Приложение № 11 </w:t>
      </w:r>
      <w:bookmarkEnd w:id="451"/>
      <w:r>
        <w:rPr/>
        <w:t>– форма Данных бухгалтерской (финансовой) отчетности</w:t>
      </w:r>
      <w:bookmarkEnd w:id="450"/>
    </w:p>
    <w:p>
      <w:pPr>
        <w:pStyle w:val="Style21"/>
        <w:rPr/>
      </w:pPr>
      <w:bookmarkStart w:id="452" w:name="__RefHeading___Toc13042_2134259642"/>
      <w:bookmarkStart w:id="453" w:name="_Toc67"/>
      <w:bookmarkEnd w:id="452"/>
      <w:r>
        <w:rPr/>
        <w:t xml:space="preserve">Пояснения к форме Данных бухгалтерской (финансовой) отчетности </w:t>
      </w:r>
      <w:bookmarkEnd w:id="453"/>
    </w:p>
    <w:p>
      <w:pPr>
        <w:pStyle w:val="Style22"/>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t xml:space="preserve">                                                                </w:t>
      </w:r>
      <w:r>
        <w:rPr/>
        <w:object>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78.1pt;height:50.25pt;mso-wrap-distance-right:0pt" filled="f" o:ole="">
            <v:imagedata r:id="rId37" o:title=""/>
          </v:shape>
          <o:OLEObject Type="Embed" ProgID="Word.Document.12" ShapeID="ole_rId36" DrawAspect="Icon" ObjectID="_1463621438" r:id="rId36"/>
        </w:object>
      </w:r>
      <w:bookmarkStart w:id="454" w:name="_Hlk210644436"/>
      <w:bookmarkEnd w:id="454"/>
    </w:p>
    <w:sectPr>
      <w:headerReference w:type="default" r:id="rId38"/>
      <w:headerReference w:type="first" r:id="rId39"/>
      <w:footerReference w:type="default" r:id="rId40"/>
      <w:footerReference w:type="first" r:id="rId41"/>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12</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64</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69</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72</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21</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46</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51</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57</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pPr>
        <w:pStyle w:val="Style28"/>
        <w:spacing w:before="80" w:after="0"/>
        <w:ind w:left="567" w:hanging="567"/>
        <w:jc w:val="both"/>
        <w:rPr/>
      </w:pPr>
      <w:r>
        <w:rPr>
          <w:rStyle w:val="Style10"/>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0">
    <w:p>
      <w:pPr>
        <w:pStyle w:val="Style28"/>
        <w:spacing w:before="80" w:after="0"/>
        <w:ind w:left="567" w:hanging="567"/>
        <w:jc w:val="both"/>
        <w:rPr/>
      </w:pPr>
      <w:r>
        <w:rPr>
          <w:rStyle w:val="Style10"/>
        </w:rPr>
        <w:footnoteRef/>
      </w:r>
      <w:r>
        <w:rPr/>
        <w:tab/>
        <w:t>https://minfin.gov.ru/ru/perfomance/tax_relations/policy/bankwarranty/</w:t>
      </w:r>
    </w:p>
  </w:footnote>
  <w:footnote w:id="11">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2">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3">
    <w:p>
      <w:pPr>
        <w:pStyle w:val="Style28"/>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szCs w:val="28"/>
        <w:iCs w:val="false"/>
        <w:bCs/>
        <w:vanish w:val="false"/>
        <w:rFonts w:ascii="Times New Roman" w:hAnsi="Times New Roman" w:cs="Times New Roman"/>
        <w:color w:val="000000"/>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szCs w:val="28"/>
        <w:iCs w:val="false"/>
        <w:bCs/>
        <w:vanish w:val="false"/>
        <w:rFonts w:ascii="Times New Roman" w:hAnsi="Times New Roman" w:cs="Times New Roman"/>
        <w:color w:val="000000"/>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dstrike w:val="false"/>
        <w:strike w:val="false"/>
        <w:vertAlign w:val="baseline"/>
        <w:position w:val="0"/>
        <w:sz w:val="26"/>
        <w:sz w:val="26"/>
        <w:spacing w:val="0"/>
        <w:i w:val="false"/>
        <w:u w:val="none"/>
        <w:b w:val="false"/>
        <w:iCs w:val="false"/>
        <w:bCs w:val="false"/>
        <w:vanish w:val="false"/>
        <w:rFonts w:ascii="Times New Roman" w:hAnsi="Times New Roman" w:cs="Times New Roman"/>
        <w14:ligatures w14:val="none"/>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7">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1">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3">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12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1"/>
    <w:qFormat/>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sz w:val="40"/>
      <w:szCs w:val="26"/>
      <w:lang w:eastAsia="ru-RU"/>
    </w:rPr>
  </w:style>
  <w:style w:type="paragraph" w:styleId="Heading2">
    <w:name w:val="Heading 2"/>
    <w:basedOn w:val="Normal"/>
    <w:next w:val="Normal"/>
    <w:link w:val="22"/>
    <w:qFormat/>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val="1F3763" w:themeColor="accent1" w:themeShade="7f"/>
      <w:sz w:val="24"/>
      <w:szCs w:val="24"/>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CaptionChar">
    <w:name w:val="Caption Char"/>
    <w:basedOn w:val="DefaultParagraphFont"/>
    <w:uiPriority w:val="35"/>
    <w:qFormat/>
    <w:rPr>
      <w:b/>
      <w:bCs/>
      <w:color w:val="4F81BD" w:themeColor="accent1"/>
      <w:sz w:val="18"/>
      <w:szCs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Style" w:customStyle="1">
    <w:name w:val="Заголовок Знак"/>
    <w:basedOn w:val="DefaultParagraphFont"/>
    <w:uiPriority w:val="10"/>
    <w:qFormat/>
    <w:rPr>
      <w:sz w:val="48"/>
      <w:szCs w:val="48"/>
    </w:rPr>
  </w:style>
  <w:style w:type="character" w:styleId="Style1"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2"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3" w:customStyle="1">
    <w:name w:val="Название объекта Знак"/>
    <w:basedOn w:val="DefaultParagraphFont"/>
    <w:uiPriority w:val="35"/>
    <w:qFormat/>
    <w:rPr>
      <w:b/>
      <w:bCs/>
      <w:color w:val="4472C4" w:themeColor="accent1"/>
      <w:sz w:val="18"/>
      <w:szCs w:val="18"/>
    </w:rPr>
  </w:style>
  <w:style w:type="character" w:styleId="FootnoteTextChar" w:customStyle="1">
    <w:name w:val="Footnote Text Char"/>
    <w:uiPriority w:val="99"/>
    <w:qFormat/>
    <w:rPr>
      <w:sz w:val="18"/>
    </w:rPr>
  </w:style>
  <w:style w:type="character" w:styleId="Style4" w:customStyle="1">
    <w:name w:val="Текст концевой сноски Знак"/>
    <w:uiPriority w:val="99"/>
    <w:qFormat/>
    <w:rPr>
      <w:sz w:val="20"/>
    </w:rPr>
  </w:style>
  <w:style w:type="character" w:styleId="Style5" w:custom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6" w:customStyle="1">
    <w:name w:val="Верхний колонтитул Знак"/>
    <w:basedOn w:val="DefaultParagraphFont"/>
    <w:uiPriority w:val="99"/>
    <w:qFormat/>
    <w:rPr/>
  </w:style>
  <w:style w:type="character" w:styleId="Style7" w:customStyle="1">
    <w:name w:val="Нижний колонтитул Знак"/>
    <w:basedOn w:val="DefaultParagraphFont"/>
    <w:uiPriority w:val="99"/>
    <w:qFormat/>
    <w:rPr/>
  </w:style>
  <w:style w:type="character" w:styleId="Style8" w:customStyle="1">
    <w:name w:val="[РГ] Инструкция для организатора"/>
    <w:basedOn w:val="DefaultParagraphFont"/>
    <w:uiPriority w:val="1"/>
    <w:qFormat/>
    <w:rPr>
      <w:i/>
      <w:iCs/>
      <w:shd w:fill="FFFF99" w:val="clear"/>
      <w:lang w:val="ru-RU"/>
    </w:rPr>
  </w:style>
  <w:style w:type="character" w:styleId="Style9" w:customStyle="1">
    <w:name w:val="Текст сноски Знак"/>
    <w:basedOn w:val="DefaultParagraphFont"/>
    <w:uiPriority w:val="99"/>
    <w:semiHidden/>
    <w:qFormat/>
    <w:rPr>
      <w:sz w:val="20"/>
      <w:szCs w:val="20"/>
    </w:rPr>
  </w:style>
  <w:style w:type="character" w:styleId="Style10" w:customStyle="1">
    <w:name w:val="Символ сноски"/>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customStyle="1">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11"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nhideWhenUsed/>
    <w:qFormat/>
    <w:rPr>
      <w:sz w:val="16"/>
      <w:szCs w:val="16"/>
    </w:rPr>
  </w:style>
  <w:style w:type="character" w:styleId="Style12" w:customStyle="1">
    <w:name w:val="Текст примечания Знак"/>
    <w:basedOn w:val="DefaultParagraphFont"/>
    <w:link w:val="Annotationtext"/>
    <w:uiPriority w:val="99"/>
    <w:qFormat/>
    <w:rPr>
      <w:sz w:val="20"/>
      <w:szCs w:val="20"/>
    </w:rPr>
  </w:style>
  <w:style w:type="character" w:styleId="Style13" w:customStyle="1">
    <w:name w:val="Тема примечания Знак"/>
    <w:basedOn w:val="Style12"/>
    <w:link w:val="Annotationsubject"/>
    <w:uiPriority w:val="99"/>
    <w:semiHidden/>
    <w:qFormat/>
    <w:rPr>
      <w:b/>
      <w:bCs/>
      <w:sz w:val="20"/>
      <w:szCs w:val="20"/>
    </w:rPr>
  </w:style>
  <w:style w:type="character" w:styleId="Style14"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21" w:customStyle="1">
    <w:name w:val="Пункт Знак2"/>
    <w:link w:val="Style30"/>
    <w:qFormat/>
    <w:rPr>
      <w:rFonts w:eastAsia="Times New Roman" w:cs="Times New Roman"/>
      <w:szCs w:val="26"/>
      <w:lang w:eastAsia="ru-RU"/>
    </w:rPr>
  </w:style>
  <w:style w:type="character" w:styleId="1" w:customStyle="1">
    <w:name w:val="Заголовок 1 Знак"/>
    <w:basedOn w:val="DefaultParagraphFont"/>
    <w:qFormat/>
    <w:rPr>
      <w:rFonts w:ascii="Arial" w:hAnsi="Arial" w:eastAsia="Times New Roman" w:cs="Times New Roman"/>
      <w:b/>
      <w:sz w:val="40"/>
      <w:szCs w:val="26"/>
      <w:lang w:eastAsia="ru-RU"/>
    </w:rPr>
  </w:style>
  <w:style w:type="character" w:styleId="22" w:customStyle="1">
    <w:name w:val="Заголовок 2 Знак"/>
    <w:basedOn w:val="DefaultParagraphFont"/>
    <w:qFormat/>
    <w:rPr>
      <w:rFonts w:eastAsia="Times New Roman" w:cs="Times New Roman"/>
      <w:b/>
      <w:sz w:val="32"/>
      <w:szCs w:val="26"/>
      <w:lang w:eastAsia="ru-RU"/>
    </w:rPr>
  </w:style>
  <w:style w:type="character" w:styleId="3" w:customStyle="1">
    <w:name w:val="Заголовок 3 Знак"/>
    <w:basedOn w:val="DefaultParagraphFont"/>
    <w:semiHidden/>
    <w:qFormat/>
    <w:rPr>
      <w:rFonts w:ascii="Calibri Light" w:hAnsi="Calibri Light" w:eastAsia="Arial" w:cs="Arial" w:asciiTheme="majorHAnsi" w:cstheme="majorBidi" w:eastAsiaTheme="majorEastAsia" w:hAnsiTheme="majorHAnsi"/>
      <w:color w:val="1F3763" w:themeColor="accent1" w:themeShade="7f"/>
      <w:sz w:val="24"/>
      <w:szCs w:val="24"/>
    </w:rPr>
  </w:style>
  <w:style w:type="character" w:styleId="Style15" w:customStyle="1">
    <w:name w:val="Текст выноски Знак"/>
    <w:basedOn w:val="DefaultParagraphFont"/>
    <w:link w:val="BalloonText"/>
    <w:uiPriority w:val="99"/>
    <w:semiHidden/>
    <w:qFormat/>
    <w:rPr>
      <w:rFonts w:ascii="Segoe UI" w:hAnsi="Segoe UI" w:cs="Segoe UI"/>
      <w:sz w:val="18"/>
      <w:szCs w:val="18"/>
    </w:rPr>
  </w:style>
  <w:style w:type="character" w:styleId="Style16" w:customStyle="1">
    <w:name w:val="РГ_ЕПоЗ_а) Знак"/>
    <w:basedOn w:val="DefaultParagraphFont"/>
    <w:link w:val="Style33"/>
    <w:qFormat/>
    <w:rPr>
      <w:rFonts w:eastAsia="Calibri" w:cs="Times New Roman"/>
      <w:sz w:val="28"/>
      <w:szCs w:val="28"/>
    </w:rPr>
  </w:style>
  <w:style w:type="character" w:styleId="-" w:customStyle="1">
    <w:name w:val="РГ_ЕПоЗ_- Знак"/>
    <w:basedOn w:val="DefaultParagraphFont"/>
    <w:link w:val="-1"/>
    <w:qFormat/>
    <w:rPr>
      <w:rFonts w:eastAsia="Times New Roman" w:cs="Times New Roman"/>
      <w:sz w:val="28"/>
      <w:szCs w:val="20"/>
      <w:lang w:eastAsia="ru-RU"/>
    </w:rPr>
  </w:style>
  <w:style w:type="character" w:styleId="Style17" w:customStyle="1">
    <w:name w:val="Ссылка указателя"/>
    <w:qFormat/>
    <w:rPr/>
  </w:style>
  <w:style w:type="paragraph" w:styleId="Style1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next w:val="Normal"/>
    <w:link w:val="Style3"/>
    <w:uiPriority w:val="35"/>
    <w:semiHidden/>
    <w:unhideWhenUsed/>
    <w:qFormat/>
    <w:pPr>
      <w:spacing w:lineRule="auto" w:line="276"/>
    </w:pPr>
    <w:rPr>
      <w:b/>
      <w:bCs/>
      <w:color w:val="4472C4" w:themeColor="accent1"/>
      <w:sz w:val="18"/>
      <w:szCs w:val="18"/>
    </w:rPr>
  </w:style>
  <w:style w:type="paragraph" w:styleId="Style19">
    <w:name w:val="Указатель"/>
    <w:basedOn w:val="Normal"/>
    <w:qFormat/>
    <w:pPr>
      <w:suppressLineNumbers/>
    </w:pPr>
    <w:rPr>
      <w:rFonts w:cs="Arial Unicode MS"/>
    </w:rPr>
  </w:style>
  <w:style w:type="paragraph" w:styleId="Title">
    <w:name w:val="Title"/>
    <w:basedOn w:val="Normal"/>
    <w:next w:val="BodyText"/>
    <w:link w:val="Style"/>
    <w:uiPriority w:val="10"/>
    <w:qFormat/>
    <w:pPr>
      <w:spacing w:before="300" w:after="200"/>
      <w:contextualSpacing/>
    </w:pPr>
    <w:rPr>
      <w:sz w:val="48"/>
      <w:szCs w:val="48"/>
    </w:rPr>
  </w:style>
  <w:style w:type="paragraph" w:styleId="Indexheading1">
    <w:name w:val="index heading1"/>
    <w:basedOn w:val="Title"/>
    <w:qFormat/>
    <w:pPr/>
    <w:rPr/>
  </w:style>
  <w:style w:type="paragraph" w:styleId="NoSpacing">
    <w:name w:val="No Spacing"/>
    <w:uiPriority w:val="1"/>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Subtitle">
    <w:name w:val="Subtitle"/>
    <w:basedOn w:val="Normal"/>
    <w:next w:val="Normal"/>
    <w:link w:val="Style1"/>
    <w:uiPriority w:val="11"/>
    <w:qFormat/>
    <w:pPr>
      <w:spacing w:before="200" w:after="200"/>
    </w:pPr>
    <w:rPr>
      <w:sz w:val="24"/>
      <w:szCs w:val="24"/>
    </w:rPr>
  </w:style>
  <w:style w:type="paragraph" w:styleId="Quote">
    <w:name w:val="Quote"/>
    <w:basedOn w:val="Normal"/>
    <w:next w:val="Normal"/>
    <w:link w:val="2"/>
    <w:uiPriority w:val="29"/>
    <w:qFormat/>
    <w:pPr>
      <w:ind w:left="720" w:right="720" w:hanging="0"/>
    </w:pPr>
    <w:rPr>
      <w:i/>
    </w:rPr>
  </w:style>
  <w:style w:type="paragraph" w:styleId="IntenseQuote">
    <w:name w:val="Intense Quote"/>
    <w:basedOn w:val="Normal"/>
    <w:next w:val="Normal"/>
    <w:link w:val="Style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4"/>
    <w:uiPriority w:val="99"/>
    <w:semiHidden/>
    <w:unhideWhenUsed/>
    <w:pPr/>
    <w:rPr>
      <w:sz w:val="20"/>
    </w:rPr>
  </w:style>
  <w:style w:type="paragraph" w:styleId="IndexHeading">
    <w:name w:val="Index Heading"/>
    <w:basedOn w:val="Style18"/>
    <w:pPr/>
    <w:rPr/>
  </w:style>
  <w:style w:type="paragraph" w:styleId="TOCHeading">
    <w:name w:val="TOC Heading"/>
    <w:uiPriority w:val="39"/>
    <w:unhideWhenUsed/>
    <w:qFormat/>
    <w:pPr>
      <w:widowControl/>
      <w:suppressAutoHyphens w:val="true"/>
      <w:bidi w:val="0"/>
      <w:spacing w:before="12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rPr/>
  </w:style>
  <w:style w:type="paragraph" w:styleId="Style20" w:customStyle="1">
    <w:name w:val="[РГ] Раздел"/>
    <w:basedOn w:val="Normal"/>
    <w:next w:val="Style21"/>
    <w:qFormat/>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pPr>
      <w:keepNext w:val="true"/>
      <w:numPr>
        <w:ilvl w:val="1"/>
        <w:numId w:val="1"/>
      </w:numPr>
      <w:spacing w:before="360" w:after="0"/>
      <w:jc w:val="both"/>
      <w:outlineLvl w:val="1"/>
    </w:pPr>
    <w:rPr>
      <w:b/>
      <w:bCs/>
    </w:rPr>
  </w:style>
  <w:style w:type="paragraph" w:styleId="Style22" w:customStyle="1">
    <w:name w:val="[РГ] Пункт"/>
    <w:basedOn w:val="Normal"/>
    <w:qFormat/>
    <w:pPr>
      <w:numPr>
        <w:ilvl w:val="2"/>
        <w:numId w:val="1"/>
      </w:numPr>
      <w:jc w:val="both"/>
      <w:outlineLvl w:val="2"/>
    </w:pPr>
    <w:rPr/>
  </w:style>
  <w:style w:type="paragraph" w:styleId="Style23" w:customStyle="1">
    <w:name w:val="[РГ] Подпункт"/>
    <w:basedOn w:val="Normal"/>
    <w:qFormat/>
    <w:pPr>
      <w:numPr>
        <w:ilvl w:val="3"/>
        <w:numId w:val="1"/>
      </w:numPr>
      <w:jc w:val="both"/>
      <w:outlineLvl w:val="3"/>
    </w:pPr>
    <w:rPr/>
  </w:style>
  <w:style w:type="paragraph" w:styleId="Style24" w:customStyle="1">
    <w:name w:val="[РГ] Перечисление"/>
    <w:basedOn w:val="Normal"/>
    <w:qFormat/>
    <w:pPr>
      <w:numPr>
        <w:ilvl w:val="4"/>
        <w:numId w:val="1"/>
      </w:numPr>
      <w:jc w:val="both"/>
      <w:outlineLvl w:val="4"/>
    </w:pPr>
    <w:rPr/>
  </w:style>
  <w:style w:type="paragraph" w:styleId="Style25" w:customStyle="1">
    <w:name w:val="[РГ] Заголовок"/>
    <w:basedOn w:val="Normal"/>
    <w:next w:val="Style26"/>
    <w:qFormat/>
    <w:pPr>
      <w:keepNext w:val="true"/>
      <w:pageBreakBefore/>
      <w:spacing w:before="0" w:after="360"/>
      <w:jc w:val="both"/>
    </w:pPr>
    <w:rPr>
      <w:b/>
      <w:bCs/>
      <w:caps/>
    </w:rPr>
  </w:style>
  <w:style w:type="paragraph" w:styleId="Style26" w:customStyle="1">
    <w:name w:val="[РГ] Текст"/>
    <w:basedOn w:val="Normal"/>
    <w:qFormat/>
    <w:pPr>
      <w:jc w:val="both"/>
    </w:pPr>
    <w:rPr/>
  </w:style>
  <w:style w:type="paragraph" w:styleId="Style27" w:customStyle="1">
    <w:name w:val="Колонтитул"/>
    <w:basedOn w:val="Normal"/>
    <w:qFormat/>
    <w:pPr/>
    <w:rPr/>
  </w:style>
  <w:style w:type="paragraph" w:styleId="Header">
    <w:name w:val="Header"/>
    <w:basedOn w:val="Normal"/>
    <w:link w:val="Style6"/>
    <w:uiPriority w:val="99"/>
    <w:unhideWhenUsed/>
    <w:pPr>
      <w:spacing w:before="0" w:after="120"/>
      <w:jc w:val="center"/>
    </w:pPr>
    <w:rPr/>
  </w:style>
  <w:style w:type="paragraph" w:styleId="Footer">
    <w:name w:val="Footer"/>
    <w:basedOn w:val="Normal"/>
    <w:link w:val="Style7"/>
    <w:unhideWhenUsed/>
    <w:pPr>
      <w:jc w:val="right"/>
    </w:pPr>
    <w:rPr/>
  </w:style>
  <w:style w:type="paragraph" w:styleId="FootnoteText">
    <w:name w:val="Footnote Text"/>
    <w:basedOn w:val="Normal"/>
    <w:link w:val="Style9"/>
    <w:uiPriority w:val="99"/>
    <w:semiHidden/>
    <w:unhideWhenUsed/>
    <w:pPr>
      <w:spacing w:before="0" w:after="0"/>
    </w:pPr>
    <w:rPr>
      <w:sz w:val="20"/>
      <w:szCs w:val="20"/>
    </w:rPr>
  </w:style>
  <w:style w:type="paragraph" w:styleId="Style28"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12"/>
    <w:uiPriority w:val="99"/>
    <w:unhideWhenUsed/>
    <w:qFormat/>
    <w:pPr/>
    <w:rPr>
      <w:sz w:val="20"/>
      <w:szCs w:val="20"/>
    </w:rPr>
  </w:style>
  <w:style w:type="paragraph" w:styleId="Annotationsubject">
    <w:name w:val="annotation subject"/>
    <w:basedOn w:val="Annotationtext"/>
    <w:next w:val="Annotationtext"/>
    <w:link w:val="Style13"/>
    <w:uiPriority w:val="99"/>
    <w:semiHidden/>
    <w:unhideWhenUsed/>
    <w:qFormat/>
    <w:pPr/>
    <w:rPr>
      <w:b/>
      <w:bCs/>
    </w:rPr>
  </w:style>
  <w:style w:type="paragraph" w:styleId="Style29" w:customStyle="1">
    <w:name w:val="[РГ] Альтернатива / Дополнение"/>
    <w:basedOn w:val="Style26"/>
    <w:next w:val="Style26"/>
    <w:qFormat/>
    <w:pPr/>
    <w:rPr>
      <w:i/>
      <w:shd w:fill="CCECFF" w:val="clea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ListParagraph">
    <w:name w:val="List Paragraph"/>
    <w:basedOn w:val="Normal"/>
    <w:uiPriority w:val="34"/>
    <w:qFormat/>
    <w:pPr>
      <w:spacing w:before="120" w:after="0"/>
      <w:ind w:left="720" w:hanging="0"/>
      <w:contextualSpacing/>
    </w:pPr>
    <w:rPr/>
  </w:style>
  <w:style w:type="paragraph" w:styleId="Style30" w:customStyle="1">
    <w:name w:val="Пункт"/>
    <w:basedOn w:val="Normal"/>
    <w:link w:val="21"/>
    <w:qFormat/>
    <w:pPr>
      <w:numPr>
        <w:ilvl w:val="2"/>
        <w:numId w:val="9"/>
      </w:numPr>
      <w:jc w:val="both"/>
    </w:pPr>
    <w:rPr>
      <w:rFonts w:eastAsia="Times New Roman" w:cs="Times New Roman"/>
      <w:szCs w:val="26"/>
      <w:lang w:eastAsia="ru-RU"/>
    </w:rPr>
  </w:style>
  <w:style w:type="paragraph" w:styleId="Style31" w:customStyle="1">
    <w:name w:val="Подпункт"/>
    <w:basedOn w:val="Style30"/>
    <w:qFormat/>
    <w:pPr>
      <w:ind w:left="2880" w:hanging="360"/>
    </w:pPr>
    <w:rPr/>
  </w:style>
  <w:style w:type="paragraph" w:styleId="Style32" w:customStyle="1">
    <w:name w:val="Подподпункт"/>
    <w:basedOn w:val="Style31"/>
    <w:qFormat/>
    <w:pPr>
      <w:ind w:left="3600" w:hanging="360"/>
    </w:pPr>
    <w:rPr/>
  </w:style>
  <w:style w:type="paragraph" w:styleId="BalloonText">
    <w:name w:val="Balloon Text"/>
    <w:basedOn w:val="Normal"/>
    <w:link w:val="Style15"/>
    <w:uiPriority w:val="99"/>
    <w:semiHidden/>
    <w:unhideWhenUsed/>
    <w:qFormat/>
    <w:pPr>
      <w:spacing w:before="0" w:after="0"/>
    </w:pPr>
    <w:rPr>
      <w:rFonts w:ascii="Segoe UI" w:hAnsi="Segoe UI" w:cs="Segoe UI"/>
      <w:sz w:val="18"/>
      <w:szCs w:val="18"/>
    </w:rPr>
  </w:style>
  <w:style w:type="paragraph" w:styleId="11" w:customStyle="1">
    <w:name w:val="РГ_ЕПоЗ_1."/>
    <w:basedOn w:val="Normal"/>
    <w:qFormat/>
    <w:pPr>
      <w:keepNext w:val="true"/>
      <w:numPr>
        <w:ilvl w:val="0"/>
        <w:numId w:val="15"/>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Style33" w:customStyle="1">
    <w:name w:val="РГ_ЕПоЗ_а)"/>
    <w:basedOn w:val="ListParagraph"/>
    <w:link w:val="Style16"/>
    <w:qFormat/>
    <w:pPr>
      <w:numPr>
        <w:ilvl w:val="4"/>
        <w:numId w:val="15"/>
      </w:numPr>
      <w:spacing w:before="120" w:after="0"/>
      <w:contextualSpacing w:val="false"/>
      <w:jc w:val="both"/>
    </w:pPr>
    <w:rPr>
      <w:rFonts w:eastAsia="Calibri" w:cs="Times New Roman"/>
      <w:sz w:val="28"/>
      <w:szCs w:val="28"/>
    </w:rPr>
  </w:style>
  <w:style w:type="paragraph" w:styleId="1111" w:customStyle="1">
    <w:name w:val="РГ_ЕПоЗ_1.1.1.1"/>
    <w:basedOn w:val="Normal"/>
    <w:qFormat/>
    <w:pPr>
      <w:numPr>
        <w:ilvl w:val="3"/>
        <w:numId w:val="15"/>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pPr>
      <w:numPr>
        <w:ilvl w:val="5"/>
        <w:numId w:val="15"/>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pPr>
      <w:numPr>
        <w:ilvl w:val="2"/>
        <w:numId w:val="15"/>
      </w:numPr>
      <w:tabs>
        <w:tab w:val="clear" w:pos="708"/>
        <w:tab w:val="left" w:pos="1134" w:leader="none"/>
      </w:tabs>
      <w:jc w:val="both"/>
    </w:pPr>
    <w:rPr>
      <w:rFonts w:eastAsia="Times New Roman" w:cs="Times New Roman"/>
      <w:sz w:val="28"/>
      <w:szCs w:val="28"/>
      <w:lang w:eastAsia="ru-RU"/>
    </w:rPr>
  </w:style>
  <w:style w:type="paragraph" w:styleId="Tableheader" w:customStyle="1">
    <w:name w:val="Table_header"/>
    <w:qFormat/>
    <w:pPr>
      <w:widowControl/>
      <w:suppressAutoHyphens w:val="true"/>
      <w:bidi w:val="0"/>
      <w:spacing w:before="120" w:after="0"/>
      <w:jc w:val="both"/>
    </w:pPr>
    <w:rPr>
      <w:rFonts w:ascii="Times New Roman" w:hAnsi="Times New Roman" w:eastAsia="Times New Roman" w:cs="Times New Roman"/>
      <w:b/>
      <w:color w:val="auto"/>
      <w:kern w:val="0"/>
      <w:sz w:val="20"/>
      <w:szCs w:val="24"/>
      <w:lang w:val="ru-RU" w:eastAsia="ru-RU" w:bidi="ar-SA"/>
    </w:rPr>
  </w:style>
  <w:style w:type="paragraph" w:styleId="31" w:customStyle="1">
    <w:name w:val="УРОВЕНЬ_Абзац_тип3"/>
    <w:qFormat/>
    <w:pPr>
      <w:widowControl/>
      <w:numPr>
        <w:ilvl w:val="7"/>
      </w:numPr>
      <w:suppressAutoHyphens w:val="true"/>
      <w:bidi w:val="0"/>
      <w:spacing w:lineRule="exact" w:line="360" w:before="120" w:after="0"/>
      <w:jc w:val="both"/>
    </w:pPr>
    <w:rPr>
      <w:rFonts w:ascii="Times New Roman" w:hAnsi="Times New Roman" w:eastAsia="Calibri" w:cs="Times New Roman" w:eastAsiaTheme="minorHAnsi"/>
      <w:color w:val="auto"/>
      <w:kern w:val="0"/>
      <w:sz w:val="26"/>
      <w:szCs w:val="28"/>
      <w:lang w:val="ru-RU" w:eastAsia="en-US" w:bidi="ar-SA"/>
    </w:rPr>
  </w:style>
  <w:style w:type="paragraph" w:styleId="23" w:customStyle="1">
    <w:name w:val="УРОВЕНЬ_Абзац_тип2"/>
    <w:qFormat/>
    <w:pPr>
      <w:widowControl/>
      <w:numPr>
        <w:ilvl w:val="6"/>
      </w:numPr>
      <w:tabs>
        <w:tab w:val="clear" w:pos="708"/>
        <w:tab w:val="left" w:pos="360" w:leader="none"/>
      </w:tabs>
      <w:suppressAutoHyphens w:val="true"/>
      <w:bidi w:val="0"/>
      <w:spacing w:lineRule="exact" w:line="360" w:before="120" w:after="0"/>
      <w:ind w:left="720" w:firstLine="567"/>
      <w:jc w:val="both"/>
    </w:pPr>
    <w:rPr>
      <w:rFonts w:ascii="Times New Roman" w:hAnsi="Times New Roman" w:eastAsia="Calibri" w:cs="Times New Roman" w:eastAsiaTheme="minorHAnsi"/>
      <w:color w:val="auto"/>
      <w:kern w:val="0"/>
      <w:sz w:val="26"/>
      <w:szCs w:val="28"/>
      <w:lang w:val="ru-RU" w:eastAsia="en-US" w:bidi="ar-SA"/>
    </w:rPr>
  </w:style>
  <w:style w:type="numbering" w:styleId="NoList" w:default="1">
    <w:name w:val="No List"/>
    <w:uiPriority w:val="99"/>
    <w:semiHidden/>
    <w:unhideWhenUsed/>
    <w:qFormat/>
  </w:style>
  <w:style w:type="table" w:default="1" w:styleId="1225">
    <w:name w:val="Normal Table"/>
    <w:uiPriority w:val="99"/>
    <w:semiHidden/>
    <w:unhideWhenUsed/>
    <w:tblPr>
      <w:tblCellMar>
        <w:left w:w="108" w:type="dxa"/>
        <w:top w:w="0" w:type="dxa"/>
        <w:right w:w="108" w:type="dxa"/>
        <w:bottom w:w="0" w:type="dxa"/>
      </w:tblCellMar>
    </w:tblPr>
  </w:style>
  <w:style w:type="table" w:customStyle="1" w:styleId="1317">
    <w:name w:val="Table Grid Light"/>
    <w:basedOn w:val="12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318">
    <w:name w:val="Plain Table 1"/>
    <w:basedOn w:val="12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FFFFF" w:fill="FFFFFF" w:themeFill="text1" w:themeFillTint="0"/>
      </w:tcPr>
    </w:tblStylePr>
    <w:tblStylePr w:type="band1Vert">
      <w:tblPr/>
      <w:tcPr>
        <w:shd w:val="clear" w:color="FFFFFF" w:fill="FFFFFF"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styleId="1319">
    <w:name w:val="Plain Table 2"/>
    <w:basedOn w:val="122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styleId="1320">
    <w:name w:val="Plain Table 3"/>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styleId="1321">
    <w:name w:val="Plain Table 4"/>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styleId="1322">
    <w:name w:val="Plain Table 5"/>
    <w:basedOn w:val="1225"/>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pPr>
        <w:jc w:val="right"/>
      </w:pPr>
      <w:rPr>
        <w:i/>
      </w:rPr>
      <w:tblPr/>
      <w:tcPr>
        <w:tcBorders>
          <w:right w:val="single" w:color="404040" w:sz="4" w:space="0"/>
        </w:tcBorders>
        <w:shd w:val="clear" w:color="FFFFFF" w:fill="auto"/>
      </w:tcPr>
    </w:tblStyle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Col">
      <w:rPr>
        <w:i/>
      </w:rPr>
      <w:tblPr/>
      <w:tcPr>
        <w:tcBorders>
          <w:left w:val="single" w:color="40404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style>
  <w:style w:type="table" w:styleId="1323">
    <w:name w:val="Grid Table 1 Light"/>
    <w:basedOn w:val="122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customStyle="1" w:styleId="1324">
    <w:name w:val="Grid Table 1 Light - Accent 1"/>
    <w:basedOn w:val="122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firstCol">
      <w:rPr>
        <w:b/>
      </w:rPr>
      <w:tblPr/>
    </w:tblStylePr>
    <w:tblStylePr w:type="firstRow">
      <w:rPr>
        <w:b/>
      </w:rPr>
      <w:tblPr/>
      <w:tcPr>
        <w:tcBorders>
          <w:bottom w:val="single" w:color="4472C4" w:themeColor="accent1" w:sz="12" w:space="0"/>
        </w:tcBorders>
      </w:tcPr>
    </w:tblStylePr>
    <w:tblStylePr w:type="lastCol">
      <w:rPr>
        <w:b/>
      </w:rPr>
      <w:tblPr/>
    </w:tblStylePr>
    <w:tblStylePr w:type="lastRow">
      <w:rPr>
        <w:b/>
      </w:rPr>
      <w:tblPr/>
    </w:tblStylePr>
  </w:style>
  <w:style w:type="table" w:customStyle="1" w:styleId="1325">
    <w:name w:val="Grid Table 1 Light - Accent 2"/>
    <w:basedOn w:val="122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b/>
      </w:rPr>
      <w:tblPr/>
    </w:tblStylePr>
    <w:tblStylePr w:type="firstRow">
      <w:rPr>
        <w:b/>
      </w:rPr>
      <w:tblPr/>
      <w:tcPr>
        <w:tcBorders>
          <w:bottom w:val="single" w:color="ED7D31" w:themeColor="accent2" w:sz="12" w:space="0"/>
        </w:tcBorders>
      </w:tcPr>
    </w:tblStylePr>
    <w:tblStylePr w:type="lastCol">
      <w:rPr>
        <w:b/>
      </w:rPr>
      <w:tblPr/>
    </w:tblStylePr>
    <w:tblStylePr w:type="lastRow">
      <w:rPr>
        <w:b/>
      </w:rPr>
      <w:tblPr/>
    </w:tblStylePr>
  </w:style>
  <w:style w:type="table" w:customStyle="1" w:styleId="1326">
    <w:name w:val="Grid Table 1 Light - Accent 3"/>
    <w:basedOn w:val="122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b/>
      </w:rPr>
      <w:tblPr/>
    </w:tblStylePr>
    <w:tblStylePr w:type="firstRow">
      <w:rPr>
        <w:b/>
      </w:rPr>
      <w:tblPr/>
      <w:tcPr>
        <w:tcBorders>
          <w:bottom w:val="single" w:color="A5A5A5" w:themeColor="accent3" w:sz="12" w:space="0"/>
        </w:tcBorders>
      </w:tcPr>
    </w:tblStylePr>
    <w:tblStylePr w:type="lastCol">
      <w:rPr>
        <w:b/>
      </w:rPr>
      <w:tblPr/>
    </w:tblStylePr>
    <w:tblStylePr w:type="lastRow">
      <w:rPr>
        <w:b/>
      </w:rPr>
      <w:tblPr/>
    </w:tblStylePr>
  </w:style>
  <w:style w:type="table" w:customStyle="1" w:styleId="1327">
    <w:name w:val="Grid Table 1 Light - Accent 4"/>
    <w:basedOn w:val="122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b/>
      </w:rPr>
      <w:tblPr/>
    </w:tblStylePr>
    <w:tblStylePr w:type="firstRow">
      <w:rPr>
        <w:b/>
      </w:rPr>
      <w:tblPr/>
      <w:tcPr>
        <w:tcBorders>
          <w:bottom w:val="single" w:color="FFC000" w:themeColor="accent4" w:sz="12" w:space="0"/>
        </w:tcBorders>
      </w:tcPr>
    </w:tblStylePr>
    <w:tblStylePr w:type="lastCol">
      <w:rPr>
        <w:b/>
      </w:rPr>
      <w:tblPr/>
    </w:tblStylePr>
    <w:tblStylePr w:type="lastRow">
      <w:rPr>
        <w:b/>
      </w:rPr>
      <w:tblPr/>
    </w:tblStylePr>
  </w:style>
  <w:style w:type="table" w:customStyle="1" w:styleId="1328">
    <w:name w:val="Grid Table 1 Light - Accent 5"/>
    <w:basedOn w:val="122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firstCol">
      <w:rPr>
        <w:b/>
      </w:rPr>
      <w:tblPr/>
    </w:tblStylePr>
    <w:tblStylePr w:type="firstRow">
      <w:rPr>
        <w:b/>
      </w:rPr>
      <w:tblPr/>
      <w:tcPr>
        <w:tcBorders>
          <w:bottom w:val="single" w:color="5B9BD5" w:themeColor="accent5" w:sz="12" w:space="0"/>
        </w:tcBorders>
      </w:tcPr>
    </w:tblStylePr>
    <w:tblStylePr w:type="lastCol">
      <w:rPr>
        <w:b/>
      </w:rPr>
      <w:tblPr/>
    </w:tblStylePr>
    <w:tblStylePr w:type="lastRow">
      <w:rPr>
        <w:b/>
      </w:rPr>
      <w:tblPr/>
    </w:tblStylePr>
  </w:style>
  <w:style w:type="table" w:customStyle="1" w:styleId="1329">
    <w:name w:val="Grid Table 1 Light - Accent 6"/>
    <w:basedOn w:val="122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b/>
      </w:rPr>
      <w:tblPr/>
    </w:tblStylePr>
    <w:tblStylePr w:type="firstRow">
      <w:rPr>
        <w:b/>
      </w:rPr>
      <w:tblPr/>
      <w:tcPr>
        <w:tcBorders>
          <w:bottom w:val="single" w:color="70AD47" w:themeColor="accent6" w:sz="12" w:space="0"/>
        </w:tcBorders>
      </w:tcPr>
    </w:tblStylePr>
    <w:tblStylePr w:type="lastCol">
      <w:rPr>
        <w:b/>
      </w:rPr>
      <w:tblPr/>
    </w:tblStylePr>
    <w:tblStylePr w:type="lastRow">
      <w:rPr>
        <w:b/>
      </w:rPr>
      <w:tblPr/>
    </w:tblStylePr>
  </w:style>
  <w:style w:type="table" w:styleId="1330">
    <w:name w:val="Grid Table 2"/>
    <w:basedOn w:val="12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style>
  <w:style w:type="table" w:customStyle="1" w:styleId="1331">
    <w:name w:val="Grid Table 2 - Accent 1"/>
    <w:basedOn w:val="122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sz w:val="22"/>
      </w:rPr>
      <w:tblPr/>
      <w:tcPr>
        <w:shd w:val="clear" w:color="FFFFFF" w:fill="D8E2F3" w:themeFill="accent1" w:themeFillTint="34"/>
      </w:tcPr>
    </w:tblStylePr>
    <w:tblStylePr w:type="band1Vert">
      <w:rPr>
        <w:sz w:val="22"/>
      </w:rPr>
      <w:tblPr/>
      <w:tcPr>
        <w:shd w:val="clear" w:color="FFFFFF" w:fill="D8E2F3"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4472C4" w:themeColor="accent1" w:sz="12" w:space="0"/>
          <w:right w:val="none" w:color="000000" w:sz="4" w:space="0"/>
        </w:tcBorders>
        <w:shd w:val="clear" w:color="FFFFFF" w:fill="auto"/>
      </w:tcPr>
    </w:tblStylePr>
    <w:tblStylePr w:type="lastCol">
      <w:rPr>
        <w:b/>
      </w:rPr>
      <w:tblPr/>
    </w:tblStylePr>
    <w:tblStylePr w:type="lastRow">
      <w:rPr>
        <w:b/>
      </w:rPr>
      <w:tblPr/>
      <w:tcPr>
        <w:tcBorders>
          <w:top w:val="single" w:color="4472C4" w:themeColor="accent1" w:sz="4" w:space="0"/>
          <w:left w:val="none" w:color="000000" w:sz="4" w:space="0"/>
          <w:bottom w:val="none" w:color="000000" w:sz="4" w:space="0"/>
          <w:right w:val="none" w:color="000000" w:sz="4" w:space="0"/>
        </w:tcBorders>
        <w:shd w:val="clear" w:color="FFFFFF" w:fill="auto"/>
      </w:tcPr>
    </w:tblStylePr>
  </w:style>
  <w:style w:type="table" w:customStyle="1" w:styleId="1332">
    <w:name w:val="Grid Table 2 - Accent 2"/>
    <w:basedOn w:val="122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Col">
      <w:rPr>
        <w:b/>
      </w:rPr>
      <w:tbl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style>
  <w:style w:type="table" w:customStyle="1" w:styleId="1333">
    <w:name w:val="Grid Table 2 - Accent 3"/>
    <w:basedOn w:val="122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rPr>
      <w:tbl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1334">
    <w:name w:val="Grid Table 2 - Accent 4"/>
    <w:basedOn w:val="122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Col">
      <w:rPr>
        <w:b/>
      </w:rPr>
      <w:tbl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style>
  <w:style w:type="table" w:customStyle="1" w:styleId="1335">
    <w:name w:val="Grid Table 2 - Accent 5"/>
    <w:basedOn w:val="122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Col">
      <w:rPr>
        <w:b/>
      </w:rPr>
      <w:tbl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style>
  <w:style w:type="table" w:customStyle="1" w:styleId="1336">
    <w:name w:val="Grid Table 2 - Accent 6"/>
    <w:basedOn w:val="122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rPr>
      <w:tbl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1337">
    <w:name w:val="Grid Table 3"/>
    <w:basedOn w:val="12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38">
    <w:name w:val="Grid Table 3 - Accent 1"/>
    <w:basedOn w:val="122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sz w:val="22"/>
      </w:rPr>
      <w:tblPr/>
      <w:tcPr>
        <w:shd w:val="clear" w:color="FFFFFF" w:fill="D8E2F3" w:themeFill="accent1" w:themeFillTint="34"/>
      </w:tcPr>
    </w:tblStylePr>
    <w:tblStylePr w:type="band1Vert">
      <w:rPr>
        <w:sz w:val="22"/>
      </w:rPr>
      <w:tblPr/>
      <w:tcPr>
        <w:shd w:val="clear" w:color="FFFFFF" w:fill="D8E2F3"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39">
    <w:name w:val="Grid Table 3 - Accent 2"/>
    <w:basedOn w:val="122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0">
    <w:name w:val="Grid Table 3 - Accent 3"/>
    <w:basedOn w:val="122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1">
    <w:name w:val="Grid Table 3 - Accent 4"/>
    <w:basedOn w:val="122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2">
    <w:name w:val="Grid Table 3 - Accent 5"/>
    <w:basedOn w:val="122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1343">
    <w:name w:val="Grid Table 3 - Accent 6"/>
    <w:basedOn w:val="122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1344">
    <w:name w:val="Grid Table 4"/>
    <w:basedOn w:val="122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customStyle="1" w:styleId="1345">
    <w:name w:val="Grid Table 4 - Accent 1"/>
    <w:basedOn w:val="1225"/>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sz w:val="22"/>
      </w:rPr>
      <w:tblPr/>
      <w:tcPr>
        <w:shd w:val="clear" w:color="FFFFFF" w:fill="DAE3F3" w:themeFill="accent1" w:themeFillTint="32"/>
      </w:tcPr>
    </w:tblStylePr>
    <w:tblStylePr w:type="band1Vert">
      <w:rPr>
        <w:sz w:val="22"/>
      </w:rPr>
      <w:tblPr/>
      <w:tcPr>
        <w:shd w:val="clear" w:color="FFFFFF" w:fill="DAE3F3" w:themeFill="accent1" w:themeFillTint="32"/>
      </w:tcPr>
    </w:tblStylePr>
    <w:tblStylePr w:type="firstCol">
      <w:rPr>
        <w:b/>
      </w:rPr>
      <w:tblPr/>
    </w:tblStylePr>
    <w:tblStylePr w:type="firstRow">
      <w:rPr>
        <w:b/>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shd w:val="clear" w:color="FFFFFF" w:fill="537DC8" w:themeFill="accent1" w:themeFillTint="ea"/>
      </w:tcPr>
    </w:tblStylePr>
    <w:tblStylePr w:type="lastCol">
      <w:rPr>
        <w:b/>
      </w:rPr>
      <w:tblPr/>
    </w:tblStylePr>
    <w:tblStylePr w:type="lastRow">
      <w:rPr>
        <w:b/>
      </w:rPr>
      <w:tblPr/>
      <w:tcPr>
        <w:tcBorders>
          <w:top w:val="single" w:color="4472C4" w:themeColor="accent1" w:sz="4" w:space="0"/>
        </w:tcBorders>
      </w:tcPr>
    </w:tblStylePr>
  </w:style>
  <w:style w:type="table" w:customStyle="1" w:styleId="1346">
    <w:name w:val="Grid Table 4 - Accent 2"/>
    <w:basedOn w:val="1225"/>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sz w:val="22"/>
      </w:rPr>
      <w:tblPr/>
      <w:tcPr>
        <w:shd w:val="clear" w:color="FFFFFF" w:fill="FBE5D6" w:themeFill="accent2" w:themeFillTint="32"/>
      </w:tcPr>
    </w:tblStylePr>
    <w:tblStylePr w:type="band1Vert">
      <w:rPr>
        <w:sz w:val="22"/>
      </w:rPr>
      <w:tblPr/>
      <w:tcPr>
        <w:shd w:val="clear" w:color="FFFFFF" w:fill="FBE5D6" w:themeFill="accent2" w:themeFillTint="32"/>
      </w:tcPr>
    </w:tblStylePr>
    <w:tblStylePr w:type="firstCol">
      <w:rPr>
        <w:b/>
      </w:rPr>
      <w:tblPr/>
    </w:tblStyle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FFFFF" w:fill="F4B184" w:themeFill="accent2" w:themeFillTint="97"/>
      </w:tcPr>
    </w:tblStylePr>
    <w:tblStylePr w:type="lastCol">
      <w:rPr>
        <w:b/>
      </w:rPr>
      <w:tblPr/>
    </w:tblStylePr>
    <w:tblStylePr w:type="lastRow">
      <w:rPr>
        <w:b/>
      </w:rPr>
      <w:tblPr/>
      <w:tcPr>
        <w:tcBorders>
          <w:top w:val="single" w:color="ED7D31" w:themeColor="accent2" w:sz="4" w:space="0"/>
        </w:tcBorders>
      </w:tcPr>
    </w:tblStylePr>
  </w:style>
  <w:style w:type="table" w:customStyle="1" w:styleId="1347">
    <w:name w:val="Grid Table 4 - Accent 3"/>
    <w:basedOn w:val="1225"/>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sz w:val="22"/>
      </w:rPr>
      <w:tblPr/>
      <w:tcPr>
        <w:shd w:val="clear" w:color="FFFFFF" w:fill="ECECEC" w:themeFill="accent3" w:themeFillTint="34"/>
      </w:tcPr>
    </w:tblStylePr>
    <w:tblStylePr w:type="band1Vert">
      <w:rPr>
        <w:sz w:val="22"/>
      </w:rPr>
      <w:tblPr/>
      <w:tcPr>
        <w:shd w:val="clear" w:color="FFFFFF" w:fill="ECECEC" w:themeFill="accent3" w:themeFillTint="34"/>
      </w:tcPr>
    </w:tblStylePr>
    <w:tblStylePr w:type="firstCol">
      <w:rPr>
        <w:b/>
      </w:rPr>
      <w:tblPr/>
    </w:tblStyle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FFFFFF" w:fill="A5A5A5" w:themeFill="accent3" w:themeFillTint="fe"/>
      </w:tcPr>
    </w:tblStylePr>
    <w:tblStylePr w:type="lastCol">
      <w:rPr>
        <w:b/>
      </w:rPr>
      <w:tblPr/>
    </w:tblStylePr>
    <w:tblStylePr w:type="lastRow">
      <w:rPr>
        <w:b/>
      </w:rPr>
      <w:tblPr/>
      <w:tcPr>
        <w:tcBorders>
          <w:top w:val="single" w:color="A5A5A5" w:themeColor="accent3" w:sz="4" w:space="0"/>
        </w:tcBorders>
      </w:tcPr>
    </w:tblStylePr>
  </w:style>
  <w:style w:type="table" w:customStyle="1" w:styleId="1348">
    <w:name w:val="Grid Table 4 - Accent 4"/>
    <w:basedOn w:val="1225"/>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firstCol">
      <w:rPr>
        <w:b/>
      </w:rPr>
      <w:tblPr/>
    </w:tblStyle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FFFF" w:fill="FFD865" w:themeFill="accent4" w:themeFillTint="9a"/>
      </w:tcPr>
    </w:tblStylePr>
    <w:tblStylePr w:type="lastCol">
      <w:rPr>
        <w:b/>
      </w:rPr>
      <w:tblPr/>
    </w:tblStylePr>
    <w:tblStylePr w:type="lastRow">
      <w:rPr>
        <w:b/>
      </w:rPr>
      <w:tblPr/>
      <w:tcPr>
        <w:tcBorders>
          <w:top w:val="single" w:color="FFC000" w:themeColor="accent4" w:sz="4" w:space="0"/>
        </w:tcBorders>
      </w:tcPr>
    </w:tblStylePr>
  </w:style>
  <w:style w:type="table" w:customStyle="1" w:styleId="1349">
    <w:name w:val="Grid Table 4 - Accent 5"/>
    <w:basedOn w:val="1225"/>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sz w:val="22"/>
      </w:rPr>
      <w:tblPr/>
      <w:tcPr>
        <w:shd w:val="clear" w:color="FFFFFF" w:fill="DDEAF6" w:themeFill="accent5" w:themeFillTint="34"/>
      </w:tcPr>
    </w:tblStylePr>
    <w:tblStylePr w:type="band1Vert">
      <w:rPr>
        <w:sz w:val="22"/>
      </w:rPr>
      <w:tblPr/>
      <w:tcPr>
        <w:shd w:val="clear" w:color="FFFFFF" w:fill="DDEAF6" w:themeFill="accent5" w:themeFillTint="34"/>
      </w:tcPr>
    </w:tblStylePr>
    <w:tblStylePr w:type="firstCol">
      <w:rPr>
        <w:b/>
      </w:rPr>
      <w:tblPr/>
    </w:tblStyle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FFFFFF" w:fill="5B9BD5" w:themeFill="accent5"/>
      </w:tcPr>
    </w:tblStylePr>
    <w:tblStylePr w:type="lastCol">
      <w:rPr>
        <w:b/>
      </w:rPr>
      <w:tblPr/>
    </w:tblStylePr>
    <w:tblStylePr w:type="lastRow">
      <w:rPr>
        <w:b/>
      </w:rPr>
      <w:tblPr/>
      <w:tcPr>
        <w:tcBorders>
          <w:top w:val="single" w:color="5B9BD5" w:themeColor="accent5" w:sz="4" w:space="0"/>
        </w:tcBorders>
      </w:tcPr>
    </w:tblStylePr>
  </w:style>
  <w:style w:type="table" w:customStyle="1" w:styleId="1350">
    <w:name w:val="Grid Table 4 - Accent 6"/>
    <w:basedOn w:val="1225"/>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sz w:val="22"/>
      </w:rPr>
      <w:tblPr/>
      <w:tcPr>
        <w:shd w:val="clear" w:color="FFFFFF" w:fill="E1EFD8" w:themeFill="accent6" w:themeFillTint="34"/>
      </w:tcPr>
    </w:tblStylePr>
    <w:tblStylePr w:type="band1Vert">
      <w:rPr>
        <w:sz w:val="22"/>
      </w:rPr>
      <w:tblPr/>
      <w:tcPr>
        <w:shd w:val="clear" w:color="FFFFFF" w:fill="E1EFD8" w:themeFill="accent6" w:themeFillTint="34"/>
      </w:tcPr>
    </w:tblStylePr>
    <w:tblStylePr w:type="firstCol">
      <w:rPr>
        <w:b/>
      </w:rPr>
      <w:tblPr/>
    </w:tblStyle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hemeFill="accent6"/>
      </w:tcPr>
    </w:tblStylePr>
    <w:tblStylePr w:type="lastCol">
      <w:rPr>
        <w:b/>
      </w:rPr>
      <w:tblPr/>
    </w:tblStylePr>
    <w:tblStylePr w:type="lastRow">
      <w:rPr>
        <w:b/>
      </w:rPr>
      <w:tblPr/>
      <w:tcPr>
        <w:tcBorders>
          <w:top w:val="single" w:color="70AD47" w:themeColor="accent6" w:sz="4" w:space="0"/>
        </w:tcBorders>
      </w:tcPr>
    </w:tblStylePr>
  </w:style>
  <w:style w:type="table" w:styleId="1351">
    <w:name w:val="Grid Table 5 Dark"/>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style>
  <w:style w:type="table" w:customStyle="1" w:styleId="1352">
    <w:name w:val="Grid Table 5 Dark- Accent 1"/>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A9BEE4" w:themeFill="accent1" w:themeFillTint="75"/>
      </w:tcPr>
    </w:tblStylePr>
    <w:tblStylePr w:type="band1Vert">
      <w:tblPr/>
      <w:tcPr>
        <w:shd w:val="clear" w:color="FFFFFF" w:fill="A9BEE4" w:themeFill="accent1" w:themeFillTint="75"/>
      </w:tcPr>
    </w:tblStylePr>
    <w:tblStylePr w:type="firstCol">
      <w:rPr>
        <w:b/>
        <w:sz w:val="22"/>
      </w:rPr>
      <w:tblPr/>
      <w:tcPr>
        <w:shd w:val="clear" w:color="FFFFFF" w:fill="4472C4" w:themeFill="accent1"/>
      </w:tcPr>
    </w:tblStylePr>
    <w:tblStylePr w:type="firstRow">
      <w:rPr>
        <w:b/>
        <w:sz w:val="22"/>
      </w:rPr>
      <w:tblPr/>
      <w:tcPr>
        <w:shd w:val="clear" w:color="FFFFFF" w:fill="4472C4" w:themeFill="accent1"/>
      </w:tcPr>
    </w:tblStylePr>
    <w:tblStylePr w:type="lastCol">
      <w:rPr>
        <w:b/>
        <w:sz w:val="22"/>
      </w:rPr>
      <w:tblPr/>
      <w:tcPr>
        <w:shd w:val="clear" w:color="FFFFFF" w:fill="4472C4" w:themeFill="accent1"/>
      </w:tcPr>
    </w:tblStylePr>
    <w:tblStylePr w:type="lastRow">
      <w:rPr>
        <w:b/>
        <w:sz w:val="22"/>
      </w:rPr>
      <w:tblPr/>
      <w:tcPr>
        <w:tcBorders>
          <w:top w:val="single" w:color="FFFFFF" w:themeColor="light1" w:sz="4" w:space="0"/>
        </w:tcBorders>
        <w:shd w:val="clear" w:color="FFFFFF" w:fill="4472C4" w:themeFill="accent1"/>
      </w:tcPr>
    </w:tblStylePr>
  </w:style>
  <w:style w:type="table" w:customStyle="1" w:styleId="1353">
    <w:name w:val="Grid Table 5 Dark - Accent 2"/>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F6C3A0" w:themeFill="accent2" w:themeFillTint="75"/>
      </w:tcPr>
    </w:tblStylePr>
    <w:tblStylePr w:type="band1Vert">
      <w:tblPr/>
      <w:tcPr>
        <w:shd w:val="clear" w:color="FFFFFF" w:fill="F6C3A0" w:themeFill="accent2" w:themeFillTint="75"/>
      </w:tc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FFFFFF" w:themeColor="light1" w:sz="4" w:space="0"/>
        </w:tcBorders>
        <w:shd w:val="clear" w:color="FFFFFF" w:fill="ED7D31" w:themeFill="accent2"/>
      </w:tcPr>
    </w:tblStylePr>
  </w:style>
  <w:style w:type="table" w:customStyle="1" w:styleId="1354">
    <w:name w:val="Grid Table 5 Dark - Accent 3"/>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D5D5D5" w:themeFill="accent3" w:themeFillTint="75"/>
      </w:tcPr>
    </w:tblStylePr>
    <w:tblStylePr w:type="band1Vert">
      <w:tblPr/>
      <w:tcPr>
        <w:shd w:val="clear" w:color="FFFFFF" w:fill="D5D5D5" w:themeFill="accent3" w:themeFillTint="75"/>
      </w:tc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FFFFFF" w:themeColor="light1" w:sz="4" w:space="0"/>
        </w:tcBorders>
        <w:shd w:val="clear" w:color="FFFFFF" w:fill="A5A5A5" w:themeFill="accent3"/>
      </w:tcPr>
    </w:tblStylePr>
  </w:style>
  <w:style w:type="table" w:customStyle="1" w:styleId="1355">
    <w:name w:val="Grid Table 5 Dark- Accent 4"/>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FFFFFF" w:themeColor="light1" w:sz="4" w:space="0"/>
        </w:tcBorders>
        <w:shd w:val="clear" w:color="FFFFFF" w:fill="FFC000" w:themeFill="accent4"/>
      </w:tcPr>
    </w:tblStylePr>
  </w:style>
  <w:style w:type="table" w:customStyle="1" w:styleId="1356">
    <w:name w:val="Grid Table 5 Dark - Accent 5"/>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B3D0EB" w:themeFill="accent5" w:themeFillTint="75"/>
      </w:tcPr>
    </w:tblStylePr>
    <w:tblStylePr w:type="band1Vert">
      <w:tblPr/>
      <w:tcPr>
        <w:shd w:val="clear" w:color="FFFFFF" w:fill="B3D0EB" w:themeFill="accent5" w:themeFillTint="75"/>
      </w:tcPr>
    </w:tblStylePr>
    <w:tblStylePr w:type="firstCol">
      <w:rPr>
        <w:b/>
        <w:sz w:val="22"/>
      </w:rPr>
      <w:tblPr/>
      <w:tcPr>
        <w:shd w:val="clear" w:color="FFFFFF" w:fill="5B9BD5" w:themeFill="accent5"/>
      </w:tcPr>
    </w:tblStylePr>
    <w:tblStylePr w:type="firstRow">
      <w:rPr>
        <w:b/>
        <w:sz w:val="22"/>
      </w:rPr>
      <w:tblPr/>
      <w:tcPr>
        <w:shd w:val="clear" w:color="FFFFFF" w:fill="5B9BD5" w:themeFill="accent5"/>
      </w:tcPr>
    </w:tblStylePr>
    <w:tblStylePr w:type="lastCol">
      <w:rPr>
        <w:b/>
        <w:sz w:val="22"/>
      </w:rPr>
      <w:tblPr/>
      <w:tcPr>
        <w:shd w:val="clear" w:color="FFFFFF" w:fill="5B9BD5" w:themeFill="accent5"/>
      </w:tcPr>
    </w:tblStylePr>
    <w:tblStylePr w:type="lastRow">
      <w:rPr>
        <w:b/>
        <w:sz w:val="22"/>
      </w:rPr>
      <w:tblPr/>
      <w:tcPr>
        <w:tcBorders>
          <w:top w:val="single" w:color="FFFFFF" w:themeColor="light1" w:sz="4" w:space="0"/>
        </w:tcBorders>
        <w:shd w:val="clear" w:color="FFFFFF" w:fill="5B9BD5" w:themeFill="accent5"/>
      </w:tcPr>
    </w:tblStylePr>
  </w:style>
  <w:style w:type="table" w:customStyle="1" w:styleId="1357">
    <w:name w:val="Grid Table 5 Dark - Accent 6"/>
    <w:basedOn w:val="12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BCDBA8" w:themeFill="accent6" w:themeFillTint="75"/>
      </w:tcPr>
    </w:tblStylePr>
    <w:tblStylePr w:type="band1Vert">
      <w:tblPr/>
      <w:tcPr>
        <w:shd w:val="clear" w:color="FFFFFF" w:fill="BCDBA8" w:themeFill="accent6" w:themeFillTint="75"/>
      </w:tc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FFFFFF" w:themeColor="light1" w:sz="4" w:space="0"/>
        </w:tcBorders>
        <w:shd w:val="clear" w:color="FFFFFF" w:fill="70AD47" w:themeFill="accent6"/>
      </w:tcPr>
    </w:tblStylePr>
  </w:style>
  <w:style w:type="table" w:styleId="1358">
    <w:name w:val="Grid Table 6 Colorful"/>
    <w:basedOn w:val="122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000000"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1359">
    <w:name w:val="Grid Table 6 Colorful - Accent 1"/>
    <w:basedOn w:val="1225"/>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FFFFFF" w:fill="D8E2F3" w:themeFill="accent1" w:themeFillTint="34"/>
      </w:tcPr>
    </w:tblStylePr>
    <w:tblStylePr w:type="band1Vert">
      <w:tblPr/>
      <w:tcPr>
        <w:shd w:val="clear" w:color="FFFFFF" w:fill="D8E2F3" w:themeFill="accent1" w:themeFillTint="34"/>
      </w:tcPr>
    </w:tblStylePr>
    <w:tblStylePr w:type="band2Horz">
      <w:rPr>
        <w:color w:val="A0B7E1" w:themeColor="accent1" w:themeTint="80" w:themeShade="95"/>
        <w:sz w:val="22"/>
      </w:rPr>
      <w:tblPr/>
    </w:tblStylePr>
    <w:tblStylePr w:type="firstCol">
      <w:rPr>
        <w:b/>
        <w:color w:val="A0B7E1" w:themeColor="accent1" w:themeTint="80" w:themeShade="95"/>
      </w:rPr>
      <w:tblPr/>
    </w:tblStylePr>
    <w:tblStylePr w:type="firstRow">
      <w:rPr>
        <w:b/>
        <w:color w:val="A0B7E1" w:themeColor="accent1" w:themeTint="80" w:themeShade="95"/>
      </w:rPr>
      <w:tblPr/>
      <w:tcPr>
        <w:tcBorders>
          <w:bottom w:val="single" w:color="4472C4" w:themeColor="accent1" w:sz="12" w:space="0"/>
        </w:tcBorders>
      </w:tcPr>
    </w:tblStylePr>
    <w:tblStylePr w:type="lastCol">
      <w:rPr>
        <w:b/>
        <w:color w:val="A0B7E1" w:themeColor="accent1" w:themeTint="80" w:themeShade="95"/>
      </w:rPr>
      <w:tblPr/>
    </w:tblStylePr>
    <w:tblStylePr w:type="lastRow">
      <w:rPr>
        <w:b/>
        <w:color w:val="A0B7E1" w:themeColor="accent1" w:themeTint="80" w:themeShade="95"/>
      </w:rPr>
      <w:tblPr/>
    </w:tblStylePr>
  </w:style>
  <w:style w:type="table" w:customStyle="1" w:styleId="1360">
    <w:name w:val="Grid Table 6 Colorful - Accent 2"/>
    <w:basedOn w:val="122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ED7D31"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1361">
    <w:name w:val="Grid Table 6 Colorful - Accent 3"/>
    <w:basedOn w:val="1225"/>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FFFFFF" w:fill="ECECEC" w:themeFill="accent3" w:themeFillTint="34"/>
      </w:tcPr>
    </w:tblStylePr>
    <w:tblStylePr w:type="band1Vert">
      <w:tblPr/>
      <w:tcPr>
        <w:shd w:val="clear" w:color="FFFFFF"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1362">
    <w:name w:val="Grid Table 6 Colorful - Accent 4"/>
    <w:basedOn w:val="122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C000"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1363">
    <w:name w:val="Grid Table 6 Colorful - Accent 5"/>
    <w:basedOn w:val="1225"/>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color w:val="245A8D" w:themeColor="accent5" w:themeShade="95"/>
        <w:sz w:val="22"/>
      </w:rPr>
      <w:tblPr/>
      <w:tcPr>
        <w:shd w:val="clear" w:color="FFFFFF" w:fill="DDEAF6" w:themeFill="accent5" w:themeFillTint="34"/>
      </w:tcPr>
    </w:tblStylePr>
    <w:tblStylePr w:type="band1Vert">
      <w:tblPr/>
      <w:tcPr>
        <w:shd w:val="clear" w:color="FFFFFF" w:fill="DDEAF6" w:themeFill="accent5"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5B9BD5" w:themeColor="accent5"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customStyle="1" w:styleId="1364">
    <w:name w:val="Grid Table 6 Colorful - Accent 6"/>
    <w:basedOn w:val="1225"/>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45A8D" w:themeColor="accent5" w:themeShade="95"/>
        <w:sz w:val="22"/>
      </w:rPr>
      <w:tblPr/>
      <w:tcPr>
        <w:shd w:val="clear" w:color="FFFFFF" w:fill="E1EFD8" w:themeFill="accent6" w:themeFillTint="34"/>
      </w:tcPr>
    </w:tblStylePr>
    <w:tblStylePr w:type="band1Vert">
      <w:tblPr/>
      <w:tcPr>
        <w:shd w:val="clear" w:color="FFFFFF" w:fill="E1EFD8" w:themeFill="accent6"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70AD47" w:themeColor="accent6"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styleId="1365">
    <w:name w:val="Grid Table 7 Colorful"/>
    <w:basedOn w:val="122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FFFFF" w:fill="FFFFFF" w:themeFill="text1" w:themeFillTint="0"/>
      </w:tcPr>
    </w:tblStylePr>
    <w:tblStylePr w:type="band1Vert">
      <w:tblPr/>
      <w:tcPr>
        <w:shd w:val="clear" w:color="FFFFFF" w:fill="FFFFFF" w:themeFill="text1" w:themeFillTint="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366">
    <w:name w:val="Grid Table 7 Colorful - Accent 1"/>
    <w:basedOn w:val="1225"/>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FFFFFF" w:fill="D8E2F3" w:themeFill="accent1" w:themeFillTint="34"/>
      </w:tcPr>
    </w:tblStylePr>
    <w:tblStylePr w:type="band1Vert">
      <w:tblPr/>
      <w:tcPr>
        <w:shd w:val="clear" w:color="FFFFFF" w:fill="D8E2F3" w:themeFill="accent1" w:themeFillTint="34"/>
      </w:tcPr>
    </w:tblStylePr>
    <w:tblStylePr w:type="band2Horz">
      <w:rPr>
        <w:color w:val="A0B7E1" w:themeColor="accent1" w:themeTint="80" w:themeShade="95"/>
        <w:sz w:val="22"/>
      </w:rPr>
      <w:tbl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firstRow">
      <w:rPr>
        <w:b/>
        <w:color w:val="A0B7E1" w:themeColor="accent1" w:themeTint="80"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Col">
      <w:rPr>
        <w:i/>
        <w:color w:val="A0B7E1" w:themeColor="accent1" w:themeTint="80"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lastRow">
      <w:rPr>
        <w:b/>
        <w:color w:val="A0B7E1" w:themeColor="accent1" w:themeTint="80"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367">
    <w:name w:val="Grid Table 7 Colorful - Accent 2"/>
    <w:basedOn w:val="1225"/>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368">
    <w:name w:val="Grid Table 7 Colorful - Accent 3"/>
    <w:basedOn w:val="1225"/>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FFFFFF" w:fill="ECECEC" w:themeFill="accent3" w:themeFillTint="34"/>
      </w:tcPr>
    </w:tblStylePr>
    <w:tblStylePr w:type="band1Vert">
      <w:tblPr/>
      <w:tcPr>
        <w:shd w:val="clear" w:color="FFFFFF"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369">
    <w:name w:val="Grid Table 7 Colorful - Accent 4"/>
    <w:basedOn w:val="1225"/>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370">
    <w:name w:val="Grid Table 7 Colorful - Accent 5"/>
    <w:basedOn w:val="1225"/>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color w:val="245A8D" w:themeColor="accent5" w:themeShade="95"/>
        <w:sz w:val="22"/>
      </w:rPr>
      <w:tblPr/>
      <w:tcPr>
        <w:shd w:val="clear" w:color="FFFFFF" w:fill="DDEAF6" w:themeFill="accent5" w:themeFillTint="34"/>
      </w:tcPr>
    </w:tblStylePr>
    <w:tblStylePr w:type="band1Vert">
      <w:tblPr/>
      <w:tcPr>
        <w:shd w:val="clear" w:color="FFFFFF" w:fill="DDEAF6" w:themeFill="accent5" w:themeFillTint="34"/>
      </w:tcPr>
    </w:tblStylePr>
    <w:tblStylePr w:type="band2Horz">
      <w:rPr>
        <w:color w:val="245A8D" w:themeColor="accent5" w:themeShade="95"/>
        <w:sz w:val="22"/>
      </w:rPr>
      <w:tbl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firstRow">
      <w:rPr>
        <w:b/>
        <w:color w:val="245A8D" w:themeColor="accent5"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Col">
      <w:rPr>
        <w:i/>
        <w:color w:val="245A8D" w:themeColor="accent5"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lastRow">
      <w:rPr>
        <w:b/>
        <w:color w:val="245A8D" w:themeColor="accent5"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371">
    <w:name w:val="Grid Table 7 Colorful - Accent 6"/>
    <w:basedOn w:val="1225"/>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FFFFFF" w:fill="E1EFD8" w:themeFill="accent6" w:themeFillTint="34"/>
      </w:tcPr>
    </w:tblStylePr>
    <w:tblStylePr w:type="band1Vert">
      <w:tblPr/>
      <w:tcPr>
        <w:shd w:val="clear" w:color="FFFFFF"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style>
  <w:style w:type="table" w:styleId="1372">
    <w:name w:val="List Table 1 Light"/>
    <w:basedOn w:val="1225"/>
    <w:uiPriority w:val="99"/>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1373">
    <w:name w:val="List Table 1 Light - Accent 1"/>
    <w:basedOn w:val="1225"/>
    <w:uiPriority w:val="99"/>
    <w:tblPr>
      <w:tblStyleRowBandSize w:val="1"/>
      <w:tblStyleColBandSize w:val="1"/>
    </w:tblPr>
    <w:tblStylePr w:type="band1Horz">
      <w:tblPr/>
      <w:tcPr>
        <w:shd w:val="clear" w:color="FFFFFF" w:fill="CFDBF0" w:themeFill="accent1" w:themeFillTint="40"/>
      </w:tcPr>
    </w:tblStylePr>
    <w:tblStylePr w:type="band1Vert">
      <w:tblPr/>
      <w:tcPr>
        <w:shd w:val="clear" w:color="FFFFFF" w:fill="CFDBF0"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Col">
      <w:rPr>
        <w:b/>
      </w:rPr>
      <w:tbl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style>
  <w:style w:type="table" w:customStyle="1" w:styleId="1374">
    <w:name w:val="List Table 1 Light - Accent 2"/>
    <w:basedOn w:val="1225"/>
    <w:uiPriority w:val="99"/>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tbl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1375">
    <w:name w:val="List Table 1 Light - Accent 3"/>
    <w:basedOn w:val="1225"/>
    <w:uiPriority w:val="99"/>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tbl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1376">
    <w:name w:val="List Table 1 Light - Accent 4"/>
    <w:basedOn w:val="1225"/>
    <w:uiPriority w:val="99"/>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tbl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1377">
    <w:name w:val="List Table 1 Light - Accent 5"/>
    <w:basedOn w:val="1225"/>
    <w:uiPriority w:val="99"/>
    <w:tblPr>
      <w:tblStyleRowBandSize w:val="1"/>
      <w:tblStyleColBandSize w:val="1"/>
    </w:tblPr>
    <w:tblStylePr w:type="band1Horz">
      <w:tblPr/>
      <w:tcPr>
        <w:shd w:val="clear" w:color="FFFFFF" w:fill="D5E5F4" w:themeFill="accent5" w:themeFillTint="40"/>
      </w:tcPr>
    </w:tblStylePr>
    <w:tblStylePr w:type="band1Vert">
      <w:tblPr/>
      <w:tcPr>
        <w:shd w:val="clear" w:color="FFFFFF" w:fill="D5E5F4"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Col">
      <w:rPr>
        <w:b/>
      </w:rPr>
      <w:tbl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style>
  <w:style w:type="table" w:customStyle="1" w:styleId="1378">
    <w:name w:val="List Table 1 Light - Accent 6"/>
    <w:basedOn w:val="1225"/>
    <w:uiPriority w:val="99"/>
    <w:tblPr>
      <w:tblStyleRowBandSize w:val="1"/>
      <w:tblStyleColBandSize w:val="1"/>
    </w:tblPr>
    <w:tblStylePr w:type="band1Horz">
      <w:tblPr/>
      <w:tcPr>
        <w:shd w:val="clear" w:color="FFFFFF" w:fill="DAEBCF" w:themeFill="accent6" w:themeFillTint="40"/>
      </w:tcPr>
    </w:tblStylePr>
    <w:tblStylePr w:type="band1Vert">
      <w:tblPr/>
      <w:tcPr>
        <w:shd w:val="clear" w:color="FFFFFF" w:fill="DAEBCF"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tbl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style>
  <w:style w:type="table" w:styleId="1379">
    <w:name w:val="List Table 2"/>
    <w:basedOn w:val="122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customStyle="1" w:styleId="1380">
    <w:name w:val="List Table 2 - Accent 1"/>
    <w:basedOn w:val="1225"/>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sz w:val="22"/>
      </w:rPr>
      <w:tblPr/>
      <w:tcPr>
        <w:shd w:val="clear" w:color="FFFFFF" w:fill="CFDBF0" w:themeFill="accent1" w:themeFillTint="40"/>
      </w:tcPr>
    </w:tblStylePr>
    <w:tblStylePr w:type="band1Vert">
      <w:rPr>
        <w:sz w:val="22"/>
      </w:rPr>
      <w:tblPr/>
      <w:tcPr>
        <w:shd w:val="clear" w:color="FFFFFF" w:fill="CFDBF0" w:themeFill="accent1" w:themeFillTint="40"/>
      </w:tcPr>
    </w:tblStylePr>
    <w:tblStylePr w:type="firstCol">
      <w:rPr>
        <w:b/>
        <w:sz w:val="22"/>
      </w:rPr>
      <w:tblPr/>
    </w:tblStylePr>
    <w:tblStylePr w:type="fir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tblStylePr w:type="lastCol">
      <w:rPr>
        <w:b/>
        <w:sz w:val="22"/>
      </w:rPr>
      <w:tblPr/>
    </w:tblStylePr>
    <w:tblStylePr w:type="la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style>
  <w:style w:type="table" w:customStyle="1" w:styleId="1381">
    <w:name w:val="List Table 2 - Accent 2"/>
    <w:basedOn w:val="1225"/>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firstCol">
      <w:rPr>
        <w:b/>
        <w:sz w:val="22"/>
      </w:rPr>
      <w:tblPr/>
    </w:tblStyle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tbl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style>
  <w:style w:type="table" w:customStyle="1" w:styleId="1382">
    <w:name w:val="List Table 2 - Accent 3"/>
    <w:basedOn w:val="1225"/>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firstCol">
      <w:rPr>
        <w:b/>
        <w:sz w:val="22"/>
      </w:rPr>
      <w:tblPr/>
    </w:tblStyle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tbl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style>
  <w:style w:type="table" w:customStyle="1" w:styleId="1383">
    <w:name w:val="List Table 2 - Accent 4"/>
    <w:basedOn w:val="1225"/>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firstCol">
      <w:rPr>
        <w:b/>
        <w:sz w:val="22"/>
      </w:rPr>
      <w:tblPr/>
    </w:tblStyle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tbl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style>
  <w:style w:type="table" w:customStyle="1" w:styleId="1384">
    <w:name w:val="List Table 2 - Accent 5"/>
    <w:basedOn w:val="1225"/>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sz w:val="22"/>
      </w:rPr>
      <w:tblPr/>
      <w:tcPr>
        <w:shd w:val="clear" w:color="FFFFFF" w:fill="D5E5F4" w:themeFill="accent5" w:themeFillTint="40"/>
      </w:tcPr>
    </w:tblStylePr>
    <w:tblStylePr w:type="band1Vert">
      <w:rPr>
        <w:sz w:val="22"/>
      </w:rPr>
      <w:tblPr/>
      <w:tcPr>
        <w:shd w:val="clear" w:color="FFFFFF" w:fill="D5E5F4" w:themeFill="accent5" w:themeFillTint="40"/>
      </w:tcPr>
    </w:tblStylePr>
    <w:tblStylePr w:type="firstCol">
      <w:rPr>
        <w:b/>
        <w:sz w:val="22"/>
      </w:rPr>
      <w:tblPr/>
    </w:tblStylePr>
    <w:tblStylePr w:type="fir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tblStylePr w:type="lastCol">
      <w:rPr>
        <w:b/>
        <w:sz w:val="22"/>
      </w:rPr>
      <w:tblPr/>
    </w:tblStylePr>
    <w:tblStylePr w:type="la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style>
  <w:style w:type="table" w:customStyle="1" w:styleId="1385">
    <w:name w:val="List Table 2 - Accent 6"/>
    <w:basedOn w:val="1225"/>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sz w:val="22"/>
      </w:rPr>
      <w:tblPr/>
      <w:tcPr>
        <w:shd w:val="clear" w:color="FFFFFF" w:fill="DAEBCF" w:themeFill="accent6" w:themeFillTint="40"/>
      </w:tcPr>
    </w:tblStylePr>
    <w:tblStylePr w:type="band1Vert">
      <w:rPr>
        <w:sz w:val="22"/>
      </w:rPr>
      <w:tblPr/>
      <w:tcPr>
        <w:shd w:val="clear" w:color="FFFFFF" w:fill="DAEBCF" w:themeFill="accent6" w:themeFillTint="40"/>
      </w:tcPr>
    </w:tblStylePr>
    <w:tblStylePr w:type="firstCol">
      <w:rPr>
        <w:b/>
        <w:sz w:val="22"/>
      </w:rPr>
      <w:tblPr/>
    </w:tblStyle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tbl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style>
  <w:style w:type="table" w:styleId="1386">
    <w:name w:val="List Table 3"/>
    <w:basedOn w:val="12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1387">
    <w:name w:val="List Table 3 - Accent 1"/>
    <w:basedOn w:val="1225"/>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sz w:val="22"/>
      </w:rPr>
      <w:tblPr/>
      <w:tcPr>
        <w:tcBorders>
          <w:top w:val="single" w:color="4472C4" w:themeColor="accent1" w:sz="4" w:space="0"/>
          <w:bottom w:val="single" w:color="4472C4" w:themeColor="accent1" w:sz="4" w:space="0"/>
        </w:tcBorders>
      </w:tcPr>
    </w:tblStylePr>
    <w:tblStylePr w:type="band1Vert">
      <w:rPr>
        <w:sz w:val="22"/>
      </w:rPr>
      <w:tblPr/>
      <w:tcPr>
        <w:tcBorders>
          <w:left w:val="single" w:color="4472C4" w:themeColor="accent1" w:sz="4" w:space="0"/>
          <w:right w:val="single" w:color="4472C4" w:themeColor="accent1" w:sz="4" w:space="0"/>
        </w:tcBorders>
      </w:tc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style>
  <w:style w:type="table" w:customStyle="1" w:styleId="1388">
    <w:name w:val="List Table 3 - Accent 2"/>
    <w:basedOn w:val="122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sz w:val="22"/>
      </w:rPr>
      <w:tblPr/>
      <w:tcPr>
        <w:tcBorders>
          <w:top w:val="single" w:color="ED7D31" w:themeColor="accent2" w:sz="4" w:space="0"/>
          <w:bottom w:val="single" w:color="ED7D31" w:themeColor="accent2" w:sz="4" w:space="0"/>
        </w:tcBorders>
      </w:tcPr>
    </w:tblStylePr>
    <w:tblStylePr w:type="band1Vert">
      <w:rPr>
        <w:sz w:val="22"/>
      </w:rPr>
      <w:tblPr/>
      <w:tcPr>
        <w:tcBorders>
          <w:left w:val="single" w:color="ED7D31" w:themeColor="accent2" w:sz="4" w:space="0"/>
          <w:right w:val="single" w:color="ED7D31" w:themeColor="accent2" w:sz="4" w:space="0"/>
        </w:tcBorders>
      </w:tcPr>
    </w:tblStylePr>
    <w:tblStylePr w:type="firstCol">
      <w:rPr>
        <w:b/>
      </w:rPr>
      <w:tblPr/>
    </w:tblStylePr>
    <w:tblStylePr w:type="firstRow">
      <w:rPr>
        <w:b/>
        <w:sz w:val="22"/>
      </w:rPr>
      <w:tblPr/>
      <w:tcPr>
        <w:shd w:val="clear" w:color="FFFFFF" w:fill="F4B184" w:themeFill="accent2" w:themeFillTint="97"/>
      </w:tcPr>
    </w:tblStylePr>
    <w:tblStylePr w:type="lastCol">
      <w:rPr>
        <w:b/>
      </w:rPr>
      <w:tblPr/>
    </w:tblStylePr>
    <w:tblStylePr w:type="lastRow">
      <w:rPr>
        <w:b/>
      </w:rPr>
      <w:tblPr/>
    </w:tblStylePr>
  </w:style>
  <w:style w:type="table" w:customStyle="1" w:styleId="1389">
    <w:name w:val="List Table 3 - Accent 3"/>
    <w:basedOn w:val="1225"/>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sz w:val="22"/>
      </w:rPr>
      <w:tblPr/>
      <w:tcPr>
        <w:tcBorders>
          <w:top w:val="single" w:color="A5A5A5" w:themeColor="accent3" w:sz="4" w:space="0"/>
          <w:bottom w:val="single" w:color="A5A5A5" w:themeColor="accent3" w:sz="4" w:space="0"/>
        </w:tcBorders>
      </w:tcPr>
    </w:tblStylePr>
    <w:tblStylePr w:type="band1Vert">
      <w:rPr>
        <w:sz w:val="22"/>
      </w:rPr>
      <w:tblPr/>
      <w:tcPr>
        <w:tcBorders>
          <w:left w:val="single" w:color="A5A5A5" w:themeColor="accent3" w:sz="4" w:space="0"/>
          <w:right w:val="single" w:color="A5A5A5" w:themeColor="accent3" w:sz="4" w:space="0"/>
        </w:tcBorders>
      </w:tc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style>
  <w:style w:type="table" w:customStyle="1" w:styleId="1390">
    <w:name w:val="List Table 3 - Accent 4"/>
    <w:basedOn w:val="122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sz w:val="22"/>
      </w:rPr>
      <w:tblPr/>
      <w:tcPr>
        <w:tcBorders>
          <w:top w:val="single" w:color="FFC000" w:themeColor="accent4" w:sz="4" w:space="0"/>
          <w:bottom w:val="single" w:color="FFC000" w:themeColor="accent4" w:sz="4" w:space="0"/>
        </w:tcBorders>
      </w:tcPr>
    </w:tblStylePr>
    <w:tblStylePr w:type="band1Vert">
      <w:rPr>
        <w:sz w:val="22"/>
      </w:rPr>
      <w:tblPr/>
      <w:tcPr>
        <w:tcBorders>
          <w:left w:val="single" w:color="FFC000" w:themeColor="accent4" w:sz="4" w:space="0"/>
          <w:right w:val="single" w:color="FFC000" w:themeColor="accent4" w:sz="4" w:space="0"/>
        </w:tcBorders>
      </w:tcPr>
    </w:tblStylePr>
    <w:tblStylePr w:type="firstCol">
      <w:rPr>
        <w:b/>
      </w:rPr>
      <w:tblPr/>
    </w:tblStylePr>
    <w:tblStylePr w:type="firstRow">
      <w:rPr>
        <w:b/>
        <w:sz w:val="22"/>
      </w:rPr>
      <w:tblPr/>
      <w:tcPr>
        <w:shd w:val="clear" w:color="FFFFFF" w:fill="FFD865" w:themeFill="accent4" w:themeFillTint="9a"/>
      </w:tcPr>
    </w:tblStylePr>
    <w:tblStylePr w:type="lastCol">
      <w:rPr>
        <w:b/>
      </w:rPr>
      <w:tblPr/>
    </w:tblStylePr>
    <w:tblStylePr w:type="lastRow">
      <w:rPr>
        <w:b/>
      </w:rPr>
      <w:tblPr/>
    </w:tblStylePr>
  </w:style>
  <w:style w:type="table" w:customStyle="1" w:styleId="1391">
    <w:name w:val="List Table 3 - Accent 5"/>
    <w:basedOn w:val="1225"/>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sz w:val="22"/>
      </w:rPr>
      <w:tblPr/>
      <w:tcPr>
        <w:tcBorders>
          <w:top w:val="single" w:color="5B9BD5" w:themeColor="accent5" w:sz="4" w:space="0"/>
          <w:bottom w:val="single" w:color="5B9BD5" w:themeColor="accent5" w:sz="4" w:space="0"/>
        </w:tcBorders>
      </w:tcPr>
    </w:tblStylePr>
    <w:tblStylePr w:type="band1Vert">
      <w:rPr>
        <w:sz w:val="22"/>
      </w:rPr>
      <w:tblPr/>
      <w:tcPr>
        <w:tcBorders>
          <w:left w:val="single" w:color="5B9BD5" w:themeColor="accent5" w:sz="4" w:space="0"/>
          <w:right w:val="single" w:color="5B9BD5" w:themeColor="accent5" w:sz="4" w:space="0"/>
        </w:tcBorders>
      </w:tcPr>
    </w:tblStylePr>
    <w:tblStylePr w:type="firstCol">
      <w:rPr>
        <w:b/>
      </w:rPr>
      <w:tblPr/>
    </w:tblStylePr>
    <w:tblStylePr w:type="firstRow">
      <w:rPr>
        <w:b/>
        <w:sz w:val="22"/>
      </w:rPr>
      <w:tblPr/>
      <w:tcPr>
        <w:shd w:val="clear" w:color="FFFFFF" w:fill="9BC2E5" w:themeFill="accent5" w:themeFillTint="9a"/>
      </w:tcPr>
    </w:tblStylePr>
    <w:tblStylePr w:type="lastCol">
      <w:rPr>
        <w:b/>
      </w:rPr>
      <w:tblPr/>
    </w:tblStylePr>
    <w:tblStylePr w:type="lastRow">
      <w:rPr>
        <w:b/>
      </w:rPr>
      <w:tblPr/>
    </w:tblStylePr>
  </w:style>
  <w:style w:type="table" w:customStyle="1" w:styleId="1392">
    <w:name w:val="List Table 3 - Accent 6"/>
    <w:basedOn w:val="1225"/>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sz w:val="22"/>
      </w:rPr>
      <w:tblPr/>
      <w:tcPr>
        <w:tcBorders>
          <w:top w:val="single" w:color="70AD47" w:themeColor="accent6" w:sz="4" w:space="0"/>
          <w:bottom w:val="single" w:color="70AD47" w:themeColor="accent6" w:sz="4" w:space="0"/>
        </w:tcBorders>
      </w:tcPr>
    </w:tblStylePr>
    <w:tblStylePr w:type="band1Vert">
      <w:rPr>
        <w:sz w:val="22"/>
      </w:rPr>
      <w:tblPr/>
      <w:tcPr>
        <w:tcBorders>
          <w:left w:val="single" w:color="70AD47" w:themeColor="accent6" w:sz="4" w:space="0"/>
          <w:right w:val="single" w:color="70AD47" w:themeColor="accent6" w:sz="4" w:space="0"/>
        </w:tcBorders>
      </w:tcPr>
    </w:tblStylePr>
    <w:tblStylePr w:type="firstCol">
      <w:rPr>
        <w:b/>
      </w:rPr>
      <w:tblPr/>
    </w:tblStylePr>
    <w:tblStylePr w:type="firstRow">
      <w:rPr>
        <w:b/>
        <w:sz w:val="22"/>
      </w:rPr>
      <w:tblPr/>
      <w:tcPr>
        <w:shd w:val="clear" w:color="FFFFFF" w:fill="A9D08E" w:themeFill="accent6" w:themeFillTint="98"/>
      </w:tcPr>
    </w:tblStylePr>
    <w:tblStylePr w:type="lastCol">
      <w:rPr>
        <w:b/>
      </w:rPr>
      <w:tblPr/>
    </w:tblStylePr>
    <w:tblStylePr w:type="lastRow">
      <w:rPr>
        <w:b/>
      </w:rPr>
      <w:tblPr/>
    </w:tblStylePr>
  </w:style>
  <w:style w:type="table" w:styleId="1393">
    <w:name w:val="List Table 4"/>
    <w:basedOn w:val="12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1394">
    <w:name w:val="List Table 4 - Accent 1"/>
    <w:basedOn w:val="1225"/>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sz w:val="22"/>
      </w:rPr>
      <w:tblPr/>
      <w:tcPr>
        <w:shd w:val="clear" w:color="FFFFFF" w:fill="CFDBF0" w:themeFill="accent1" w:themeFillTint="40"/>
      </w:tcPr>
    </w:tblStylePr>
    <w:tblStylePr w:type="band1Vert">
      <w:rPr>
        <w:sz w:val="22"/>
      </w:rPr>
      <w:tblPr/>
      <w:tcPr>
        <w:shd w:val="clear" w:color="FFFFFF" w:fill="CFDBF0" w:themeFill="accent1" w:themeFillTint="40"/>
      </w:tc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style>
  <w:style w:type="table" w:customStyle="1" w:styleId="1395">
    <w:name w:val="List Table 4 - Accent 2"/>
    <w:basedOn w:val="1225"/>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style>
  <w:style w:type="table" w:customStyle="1" w:styleId="1396">
    <w:name w:val="List Table 4 - Accent 3"/>
    <w:basedOn w:val="1225"/>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style>
  <w:style w:type="table" w:customStyle="1" w:styleId="1397">
    <w:name w:val="List Table 4 - Accent 4"/>
    <w:basedOn w:val="1225"/>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style>
  <w:style w:type="table" w:customStyle="1" w:styleId="1398">
    <w:name w:val="List Table 4 - Accent 5"/>
    <w:basedOn w:val="1225"/>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sz w:val="22"/>
      </w:rPr>
      <w:tblPr/>
      <w:tcPr>
        <w:shd w:val="clear" w:color="FFFFFF" w:fill="D5E5F4" w:themeFill="accent5" w:themeFillTint="40"/>
      </w:tcPr>
    </w:tblStylePr>
    <w:tblStylePr w:type="band1Vert">
      <w:rPr>
        <w:sz w:val="22"/>
      </w:rPr>
      <w:tblPr/>
      <w:tcPr>
        <w:shd w:val="clear" w:color="FFFFFF" w:fill="D5E5F4" w:themeFill="accent5" w:themeFillTint="40"/>
      </w:tcPr>
    </w:tblStylePr>
    <w:tblStylePr w:type="firstCol">
      <w:rPr>
        <w:b/>
      </w:rPr>
      <w:tblPr/>
    </w:tblStylePr>
    <w:tblStylePr w:type="firstRow">
      <w:rPr>
        <w:b/>
        <w:sz w:val="22"/>
      </w:rPr>
      <w:tblPr/>
      <w:tcPr>
        <w:shd w:val="clear" w:color="FFFFFF" w:fill="5B9BD5" w:themeFill="accent5"/>
      </w:tcPr>
    </w:tblStylePr>
    <w:tblStylePr w:type="lastCol">
      <w:rPr>
        <w:b/>
      </w:rPr>
      <w:tblPr/>
    </w:tblStylePr>
    <w:tblStylePr w:type="lastRow">
      <w:rPr>
        <w:b/>
      </w:rPr>
      <w:tblPr/>
    </w:tblStylePr>
  </w:style>
  <w:style w:type="table" w:customStyle="1" w:styleId="1399">
    <w:name w:val="List Table 4 - Accent 6"/>
    <w:basedOn w:val="1225"/>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sz w:val="22"/>
      </w:rPr>
      <w:tblPr/>
      <w:tcPr>
        <w:shd w:val="clear" w:color="FFFFFF" w:fill="DAEBCF" w:themeFill="accent6" w:themeFillTint="40"/>
      </w:tcPr>
    </w:tblStylePr>
    <w:tblStylePr w:type="band1Vert">
      <w:rPr>
        <w:sz w:val="22"/>
      </w:rPr>
      <w:tblPr/>
      <w:tcPr>
        <w:shd w:val="clear" w:color="FFFFFF" w:fill="DAEBCF" w:themeFill="accent6" w:themeFillTint="40"/>
      </w:tc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style>
  <w:style w:type="table" w:styleId="1400">
    <w:name w:val="List Table 5 Dark"/>
    <w:basedOn w:val="122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Col">
      <w:tblPr/>
      <w:tcPr>
        <w:tcBorders>
          <w:left w:val="single" w:color="FFFFFF" w:themeColor="light1" w:sz="4" w:space="0"/>
          <w:right w:val="single" w:color="000000" w:themeColor="text1" w:sz="32" w:space="0"/>
        </w:tcBorders>
      </w:tcPr>
    </w:tblStylePr>
    <w:tblStylePr w:type="lastRow">
      <w:rPr>
        <w:b/>
        <w:color w:val="FFFFFF" w:themeColor="light1"/>
        <w:sz w:val="22"/>
      </w:rPr>
      <w:tblPr/>
    </w:tblStylePr>
  </w:style>
  <w:style w:type="table" w:customStyle="1" w:styleId="1401">
    <w:name w:val="List Table 5 Dark - Accent 1"/>
    <w:basedOn w:val="1225"/>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band1Horz">
      <w:tblPr/>
      <w:tcPr>
        <w:tcBorders>
          <w:top w:val="single" w:color="FFFFFF" w:themeColor="light1" w:sz="4" w:space="0"/>
          <w:bottom w:val="single" w:color="FFFFFF" w:themeColor="light1" w:sz="4" w:space="0"/>
        </w:tcBorders>
        <w:shd w:val="clear" w:color="FFFFFF" w:fill="4472C4" w:themeFill="accent1"/>
      </w:tcPr>
    </w:tblStylePr>
    <w:tblStylePr w:type="band1Vert">
      <w:tblPr/>
      <w:tcPr>
        <w:tcBorders>
          <w:left w:val="single" w:color="FFFFFF" w:themeColor="light1" w:sz="4" w:space="0"/>
          <w:right w:val="single" w:color="FFFFFF" w:themeColor="light1" w:sz="4" w:space="0"/>
        </w:tcBorders>
        <w:shd w:val="clear" w:color="FFFFFF" w:fill="4472C4" w:themeFill="accent1"/>
      </w:tcPr>
    </w:tblStylePr>
    <w:tblStylePr w:type="band2Horz">
      <w:tblPr/>
      <w:tcPr>
        <w:tcBorders>
          <w:top w:val="single" w:color="FFFFFF" w:themeColor="light1" w:sz="4" w:space="0"/>
          <w:bottom w:val="single" w:color="FFFFFF" w:themeColor="light1" w:sz="4" w:space="0"/>
        </w:tcBorders>
        <w:shd w:val="clear" w:color="FFFFFF" w:fill="4472C4"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firstRow">
      <w:rPr>
        <w:b/>
        <w:color w:val="FFFFFF" w:themeColor="light1"/>
        <w:sz w:val="22"/>
      </w:rPr>
      <w:tblPr/>
      <w:tcPr>
        <w:tcBorders>
          <w:top w:val="single" w:color="4472C4" w:themeColor="accent1" w:sz="32" w:space="0"/>
          <w:bottom w:val="single" w:color="FFFFFF" w:themeColor="light1" w:sz="12" w:space="0"/>
        </w:tcBorders>
        <w:shd w:val="clear" w:color="FFFFFF" w:fill="4472C4" w:themeFill="accent1"/>
      </w:tcPr>
    </w:tblStylePr>
    <w:tblStylePr w:type="lastCol">
      <w:tblPr/>
      <w:tcPr>
        <w:tcBorders>
          <w:left w:val="single" w:color="FFFFFF" w:themeColor="light1" w:sz="4" w:space="0"/>
          <w:right w:val="single" w:color="4472C4" w:themeColor="accent1" w:sz="32" w:space="0"/>
        </w:tcBorders>
      </w:tcPr>
    </w:tblStylePr>
    <w:tblStylePr w:type="lastRow">
      <w:rPr>
        <w:b/>
        <w:color w:val="FFFFFF" w:themeColor="light1"/>
        <w:sz w:val="22"/>
      </w:rPr>
      <w:tblPr/>
    </w:tblStylePr>
  </w:style>
  <w:style w:type="table" w:customStyle="1" w:styleId="1402">
    <w:name w:val="List Table 5 Dark - Accent 2"/>
    <w:basedOn w:val="1225"/>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FFFFF" w:fill="F4B184" w:themeFill="accent2" w:themeFillTint="97"/>
      </w:tcPr>
    </w:tblStylePr>
    <w:tblStylePr w:type="band1Vert">
      <w:tblPr/>
      <w:tcPr>
        <w:tcBorders>
          <w:left w:val="single" w:color="FFFFFF" w:themeColor="light1" w:sz="4" w:space="0"/>
          <w:right w:val="single" w:color="FFFFFF" w:themeColor="light1" w:sz="4" w:space="0"/>
        </w:tcBorders>
        <w:shd w:val="clear" w:color="FFFFFF" w:fill="F4B184" w:themeFill="accent2" w:themeFillTint="97"/>
      </w:tcPr>
    </w:tblStylePr>
    <w:tblStylePr w:type="band2Horz">
      <w:tblPr/>
      <w:tcPr>
        <w:tcBorders>
          <w:top w:val="single" w:color="FFFFFF" w:themeColor="light1" w:sz="4" w:space="0"/>
          <w:bottom w:val="single" w:color="FFFFFF" w:themeColor="light1" w:sz="4" w:space="0"/>
        </w:tcBorders>
        <w:shd w:val="clear" w:color="FFFFFF"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ED7D31" w:themeColor="accent2" w:sz="32" w:space="0"/>
          <w:right w:val="single" w:color="FFFFFF" w:themeColor="light1" w:sz="4" w:space="0"/>
        </w:tcBorders>
      </w:tcPr>
    </w:tblStylePr>
    <w:tblStylePr w:type="firstRow">
      <w:rPr>
        <w:b/>
        <w:color w:val="FFFFFF" w:themeColor="light1"/>
        <w:sz w:val="22"/>
      </w:rPr>
      <w:tblPr/>
      <w:tcPr>
        <w:tcBorders>
          <w:top w:val="single" w:color="ED7D31" w:themeColor="accent2" w:sz="32" w:space="0"/>
          <w:bottom w:val="single" w:color="FFFFFF" w:themeColor="light1" w:sz="12" w:space="0"/>
        </w:tcBorders>
        <w:shd w:val="clear" w:color="FFFFFF" w:fill="F4B184" w:themeFill="accent2" w:themeFillTint="97"/>
      </w:tcPr>
    </w:tblStylePr>
    <w:tblStylePr w:type="lastCol">
      <w:tblPr/>
      <w:tcPr>
        <w:tcBorders>
          <w:left w:val="single" w:color="FFFFFF" w:themeColor="light1" w:sz="4" w:space="0"/>
          <w:right w:val="single" w:color="ED7D31" w:themeColor="accent2" w:sz="32" w:space="0"/>
        </w:tcBorders>
      </w:tcPr>
    </w:tblStylePr>
    <w:tblStylePr w:type="lastRow">
      <w:rPr>
        <w:b/>
        <w:color w:val="FFFFFF" w:themeColor="light1"/>
        <w:sz w:val="22"/>
      </w:rPr>
      <w:tblPr/>
    </w:tblStylePr>
  </w:style>
  <w:style w:type="table" w:customStyle="1" w:styleId="1403">
    <w:name w:val="List Table 5 Dark - Accent 3"/>
    <w:basedOn w:val="1225"/>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FFFFFF" w:fill="C9C9C9" w:themeFill="accent3" w:themeFillTint="98"/>
      </w:tcPr>
    </w:tblStylePr>
    <w:tblStylePr w:type="band1Vert">
      <w:tblPr/>
      <w:tcPr>
        <w:tcBorders>
          <w:left w:val="single" w:color="FFFFFF" w:themeColor="light1" w:sz="4" w:space="0"/>
          <w:right w:val="single" w:color="FFFFFF" w:themeColor="light1" w:sz="4" w:space="0"/>
        </w:tcBorders>
        <w:shd w:val="clear" w:color="FFFFFF" w:fill="C9C9C9" w:themeFill="accent3" w:themeFillTint="98"/>
      </w:tcPr>
    </w:tblStylePr>
    <w:tblStylePr w:type="band2Horz">
      <w:tblPr/>
      <w:tcPr>
        <w:tcBorders>
          <w:top w:val="single" w:color="FFFFFF" w:themeColor="light1" w:sz="4" w:space="0"/>
          <w:bottom w:val="single" w:color="FFFFFF" w:themeColor="light1" w:sz="4" w:space="0"/>
        </w:tcBorders>
        <w:shd w:val="clear" w:color="FFFFFF"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5A5A5" w:themeColor="accent3" w:sz="32" w:space="0"/>
          <w:right w:val="single" w:color="FFFFFF" w:themeColor="light1" w:sz="4" w:space="0"/>
        </w:tcBorders>
      </w:tcPr>
    </w:tblStylePr>
    <w:tblStylePr w:type="firstRow">
      <w:rPr>
        <w:b/>
        <w:color w:val="FFFFFF" w:themeColor="light1"/>
        <w:sz w:val="22"/>
      </w:rPr>
      <w:tblPr/>
      <w:tcPr>
        <w:tcBorders>
          <w:top w:val="single" w:color="A5A5A5" w:themeColor="accent3" w:sz="32" w:space="0"/>
          <w:bottom w:val="single" w:color="FFFFFF" w:themeColor="light1" w:sz="12" w:space="0"/>
        </w:tcBorders>
        <w:shd w:val="clear" w:color="FFFFFF" w:fill="C9C9C9" w:themeFill="accent3" w:themeFillTint="98"/>
      </w:tcPr>
    </w:tblStylePr>
    <w:tblStylePr w:type="lastCol">
      <w:tblPr/>
      <w:tcPr>
        <w:tcBorders>
          <w:left w:val="single" w:color="FFFFFF" w:themeColor="light1" w:sz="4" w:space="0"/>
          <w:right w:val="single" w:color="A5A5A5" w:themeColor="accent3" w:sz="32" w:space="0"/>
        </w:tcBorders>
      </w:tcPr>
    </w:tblStylePr>
    <w:tblStylePr w:type="lastRow">
      <w:rPr>
        <w:b/>
        <w:color w:val="FFFFFF" w:themeColor="light1"/>
        <w:sz w:val="22"/>
      </w:rPr>
      <w:tblPr/>
    </w:tblStylePr>
  </w:style>
  <w:style w:type="table" w:customStyle="1" w:styleId="1404">
    <w:name w:val="List Table 5 Dark - Accent 4"/>
    <w:basedOn w:val="1225"/>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FFFF" w:fill="FFD865" w:themeFill="accent4" w:themeFillTint="9a"/>
      </w:tcPr>
    </w:tblStylePr>
    <w:tblStylePr w:type="band1Vert">
      <w:tblPr/>
      <w:tcPr>
        <w:tcBorders>
          <w:left w:val="single" w:color="FFFFFF" w:themeColor="light1" w:sz="4" w:space="0"/>
          <w:right w:val="single" w:color="FFFFFF" w:themeColor="light1" w:sz="4" w:space="0"/>
        </w:tcBorders>
        <w:shd w:val="clear" w:color="FFFFFF" w:fill="FFD865" w:themeFill="accent4" w:themeFillTint="9a"/>
      </w:tcPr>
    </w:tblStylePr>
    <w:tblStylePr w:type="band2Horz">
      <w:tblPr/>
      <w:tcPr>
        <w:tcBorders>
          <w:top w:val="single" w:color="FFFFFF" w:themeColor="light1" w:sz="4" w:space="0"/>
          <w:bottom w:val="single" w:color="FFFFFF" w:themeColor="light1" w:sz="4" w:space="0"/>
        </w:tcBorders>
        <w:shd w:val="clear" w:color="FFFFFF"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C000" w:themeColor="accent4" w:sz="32" w:space="0"/>
          <w:right w:val="single" w:color="FFFFFF" w:themeColor="light1" w:sz="4" w:space="0"/>
        </w:tcBorders>
      </w:tcPr>
    </w:tblStylePr>
    <w:tblStylePr w:type="firstRow">
      <w:rPr>
        <w:b/>
        <w:color w:val="FFFFFF" w:themeColor="light1"/>
        <w:sz w:val="22"/>
      </w:rPr>
      <w:tblPr/>
      <w:tcPr>
        <w:tcBorders>
          <w:top w:val="single" w:color="FFC000" w:themeColor="accent4" w:sz="32" w:space="0"/>
          <w:bottom w:val="single" w:color="FFFFFF" w:themeColor="light1" w:sz="12" w:space="0"/>
        </w:tcBorders>
        <w:shd w:val="clear" w:color="FFFFFF" w:fill="FFD865" w:themeFill="accent4" w:themeFillTint="9a"/>
      </w:tcPr>
    </w:tblStylePr>
    <w:tblStylePr w:type="lastCol">
      <w:tblPr/>
      <w:tcPr>
        <w:tcBorders>
          <w:left w:val="single" w:color="FFFFFF" w:themeColor="light1" w:sz="4" w:space="0"/>
          <w:right w:val="single" w:color="FFC000" w:themeColor="accent4" w:sz="32" w:space="0"/>
        </w:tcBorders>
      </w:tcPr>
    </w:tblStylePr>
    <w:tblStylePr w:type="lastRow">
      <w:rPr>
        <w:b/>
        <w:color w:val="FFFFFF" w:themeColor="light1"/>
        <w:sz w:val="22"/>
      </w:rPr>
      <w:tblPr/>
    </w:tblStylePr>
  </w:style>
  <w:style w:type="table" w:customStyle="1" w:styleId="1405">
    <w:name w:val="List Table 5 Dark - Accent 5"/>
    <w:basedOn w:val="1225"/>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band1Horz">
      <w:tblPr/>
      <w:tcPr>
        <w:tcBorders>
          <w:top w:val="single" w:color="FFFFFF" w:themeColor="light1" w:sz="4" w:space="0"/>
          <w:bottom w:val="single" w:color="FFFFFF" w:themeColor="light1" w:sz="4" w:space="0"/>
        </w:tcBorders>
        <w:shd w:val="clear" w:color="FFFFFF" w:fill="9BC2E5" w:themeFill="accent5" w:themeFillTint="9a"/>
      </w:tcPr>
    </w:tblStylePr>
    <w:tblStylePr w:type="band1Vert">
      <w:tblPr/>
      <w:tcPr>
        <w:tcBorders>
          <w:left w:val="single" w:color="FFFFFF" w:themeColor="light1" w:sz="4" w:space="0"/>
          <w:right w:val="single" w:color="FFFFFF" w:themeColor="light1" w:sz="4" w:space="0"/>
        </w:tcBorders>
        <w:shd w:val="clear" w:color="FFFFFF" w:fill="9BC2E5" w:themeFill="accent5" w:themeFillTint="9a"/>
      </w:tcPr>
    </w:tblStylePr>
    <w:tblStylePr w:type="band2Horz">
      <w:tblPr/>
      <w:tcPr>
        <w:tcBorders>
          <w:top w:val="single" w:color="FFFFFF" w:themeColor="light1" w:sz="4" w:space="0"/>
          <w:bottom w:val="single" w:color="FFFFFF" w:themeColor="light1" w:sz="4" w:space="0"/>
        </w:tcBorders>
        <w:shd w:val="clear" w:color="FFFFFF"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5" w:sz="32" w:space="0"/>
          <w:right w:val="single" w:color="FFFFFF" w:themeColor="light1" w:sz="4" w:space="0"/>
        </w:tcBorders>
      </w:tcPr>
    </w:tblStylePr>
    <w:tblStylePr w:type="firstRow">
      <w:rPr>
        <w:b/>
        <w:color w:val="FFFFFF" w:themeColor="light1"/>
        <w:sz w:val="22"/>
      </w:rPr>
      <w:tblPr/>
      <w:tcPr>
        <w:tcBorders>
          <w:top w:val="single" w:color="5B9BD5" w:themeColor="accent5" w:sz="32" w:space="0"/>
          <w:bottom w:val="single" w:color="FFFFFF" w:themeColor="light1" w:sz="12" w:space="0"/>
        </w:tcBorders>
        <w:shd w:val="clear" w:color="FFFFFF" w:fill="9BC2E5" w:themeFill="accent5" w:themeFillTint="9a"/>
      </w:tcPr>
    </w:tblStylePr>
    <w:tblStylePr w:type="lastCol">
      <w:tblPr/>
      <w:tcPr>
        <w:tcBorders>
          <w:left w:val="single" w:color="FFFFFF" w:themeColor="light1" w:sz="4" w:space="0"/>
          <w:right w:val="single" w:color="5B9BD5" w:themeColor="accent5" w:sz="32" w:space="0"/>
        </w:tcBorders>
      </w:tcPr>
    </w:tblStylePr>
    <w:tblStylePr w:type="lastRow">
      <w:rPr>
        <w:b/>
        <w:color w:val="FFFFFF" w:themeColor="light1"/>
        <w:sz w:val="22"/>
      </w:rPr>
      <w:tblPr/>
    </w:tblStylePr>
  </w:style>
  <w:style w:type="table" w:customStyle="1" w:styleId="1406">
    <w:name w:val="List Table 5 Dark - Accent 6"/>
    <w:basedOn w:val="1225"/>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FFFFFF" w:fill="A9D08E" w:themeFill="accent6" w:themeFillTint="98"/>
      </w:tcPr>
    </w:tblStylePr>
    <w:tblStylePr w:type="band1Vert">
      <w:tblPr/>
      <w:tcPr>
        <w:tcBorders>
          <w:left w:val="single" w:color="FFFFFF" w:themeColor="light1" w:sz="4" w:space="0"/>
          <w:right w:val="single" w:color="FFFFFF" w:themeColor="light1" w:sz="4" w:space="0"/>
        </w:tcBorders>
        <w:shd w:val="clear" w:color="FFFFFF" w:fill="A9D08E" w:themeFill="accent6" w:themeFillTint="98"/>
      </w:tcPr>
    </w:tblStylePr>
    <w:tblStylePr w:type="band2Horz">
      <w:tblPr/>
      <w:tcPr>
        <w:tcBorders>
          <w:top w:val="single" w:color="FFFFFF" w:themeColor="light1" w:sz="4" w:space="0"/>
          <w:bottom w:val="single" w:color="FFFFFF" w:themeColor="light1" w:sz="4" w:space="0"/>
        </w:tcBorders>
        <w:shd w:val="clear" w:color="FFFFFF"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0AD47" w:themeColor="accent6" w:sz="32" w:space="0"/>
          <w:right w:val="single" w:color="FFFFFF" w:themeColor="light1" w:sz="4" w:space="0"/>
        </w:tcBorders>
      </w:tcPr>
    </w:tblStylePr>
    <w:tblStylePr w:type="firstRow">
      <w:rPr>
        <w:b/>
        <w:color w:val="FFFFFF" w:themeColor="light1"/>
        <w:sz w:val="22"/>
      </w:rPr>
      <w:tblPr/>
      <w:tcPr>
        <w:tcBorders>
          <w:top w:val="single" w:color="70AD47" w:themeColor="accent6" w:sz="32" w:space="0"/>
          <w:bottom w:val="single" w:color="FFFFFF" w:themeColor="light1" w:sz="12" w:space="0"/>
        </w:tcBorders>
        <w:shd w:val="clear" w:color="FFFFFF" w:fill="A9D08E" w:themeFill="accent6" w:themeFillTint="98"/>
      </w:tcPr>
    </w:tblStylePr>
    <w:tblStylePr w:type="lastCol">
      <w:tblPr/>
      <w:tcPr>
        <w:tcBorders>
          <w:left w:val="single" w:color="FFFFFF" w:themeColor="light1" w:sz="4" w:space="0"/>
          <w:right w:val="single" w:color="70AD47" w:themeColor="accent6" w:sz="32" w:space="0"/>
        </w:tcBorders>
      </w:tcPr>
    </w:tblStylePr>
    <w:tblStylePr w:type="lastRow">
      <w:rPr>
        <w:b/>
        <w:color w:val="FFFFFF" w:themeColor="light1"/>
        <w:sz w:val="22"/>
      </w:rPr>
      <w:tblPr/>
    </w:tblStylePr>
  </w:style>
  <w:style w:type="table" w:styleId="1407">
    <w:name w:val="List Table 6 Colorful"/>
    <w:basedOn w:val="122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customStyle="1" w:styleId="1408">
    <w:name w:val="List Table 6 Colorful - Accent 1"/>
    <w:basedOn w:val="1225"/>
    <w:uiPriority w:val="99"/>
    <w:tblPr>
      <w:tblStyleRowBandSize w:val="1"/>
      <w:tblStyleColBandSize w:val="1"/>
      <w:tblBorders>
        <w:top w:val="single" w:color="4472C4" w:themeColor="accent1" w:sz="4" w:space="0"/>
        <w:bottom w:val="single" w:color="4472C4" w:themeColor="accent1" w:sz="4" w:space="0"/>
      </w:tblBorders>
    </w:tblPr>
    <w:tblStylePr w:type="band1Horz">
      <w:rPr>
        <w:color w:val="254175" w:themeColor="accent1" w:themeShade="95"/>
        <w:sz w:val="22"/>
      </w:rPr>
      <w:tblPr/>
      <w:tcPr>
        <w:shd w:val="clear" w:color="FFFFFF" w:fill="CFDBF0" w:themeFill="accent1" w:themeFillTint="40"/>
      </w:tcPr>
    </w:tblStylePr>
    <w:tblStylePr w:type="band1Vert">
      <w:tblPr/>
      <w:tcPr>
        <w:shd w:val="clear" w:color="FFFFFF" w:fill="CFDBF0" w:themeFill="accent1" w:themeFillTint="40"/>
      </w:tcPr>
    </w:tblStylePr>
    <w:tblStylePr w:type="band2Horz">
      <w:rPr>
        <w:color w:val="254175" w:themeColor="accent1" w:themeShade="95"/>
        <w:sz w:val="22"/>
      </w:rPr>
      <w:tblPr/>
    </w:tblStylePr>
    <w:tblStylePr w:type="firstCol">
      <w:rPr>
        <w:b/>
        <w:color w:val="254175" w:themeColor="accent1" w:themeShade="95"/>
      </w:rPr>
      <w:tblPr/>
    </w:tblStylePr>
    <w:tblStylePr w:type="firstRow">
      <w:rPr>
        <w:b/>
        <w:color w:val="254175" w:themeColor="accent1" w:themeShade="95"/>
      </w:rPr>
      <w:tblPr/>
      <w:tcPr>
        <w:tcBorders>
          <w:bottom w:val="single" w:color="4472C4" w:themeColor="accent1" w:sz="4" w:space="0"/>
        </w:tcBorders>
      </w:tcPr>
    </w:tblStylePr>
    <w:tblStylePr w:type="lastCol">
      <w:rPr>
        <w:b/>
        <w:color w:val="254175" w:themeColor="accent1" w:themeShade="95"/>
      </w:rPr>
      <w:tblPr/>
    </w:tblStylePr>
    <w:tblStylePr w:type="lastRow">
      <w:rPr>
        <w:b/>
        <w:color w:val="254175" w:themeColor="accent1" w:themeShade="95"/>
      </w:rPr>
      <w:tblPr/>
      <w:tcPr>
        <w:tcBorders>
          <w:top w:val="single" w:color="4472C4" w:themeColor="accent1" w:sz="4" w:space="0"/>
        </w:tcBorders>
      </w:tcPr>
    </w:tblStylePr>
  </w:style>
  <w:style w:type="table" w:customStyle="1" w:styleId="1409">
    <w:name w:val="List Table 6 Colorful - Accent 2"/>
    <w:basedOn w:val="1225"/>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ED7D31"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ED7D31" w:themeColor="accent2" w:sz="4" w:space="0"/>
        </w:tcBorders>
      </w:tcPr>
    </w:tblStylePr>
  </w:style>
  <w:style w:type="table" w:customStyle="1" w:styleId="1410">
    <w:name w:val="List Table 6 Colorful - Accent 3"/>
    <w:basedOn w:val="1225"/>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A5A5A5"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A5A5A5" w:themeColor="accent3" w:sz="4" w:space="0"/>
        </w:tcBorders>
      </w:tcPr>
    </w:tblStylePr>
  </w:style>
  <w:style w:type="table" w:customStyle="1" w:styleId="1411">
    <w:name w:val="List Table 6 Colorful - Accent 4"/>
    <w:basedOn w:val="1225"/>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C000"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C000" w:themeColor="accent4" w:sz="4" w:space="0"/>
        </w:tcBorders>
      </w:tcPr>
    </w:tblStylePr>
  </w:style>
  <w:style w:type="table" w:customStyle="1" w:styleId="1412">
    <w:name w:val="List Table 6 Colorful - Accent 5"/>
    <w:basedOn w:val="1225"/>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band1Horz">
      <w:rPr>
        <w:color w:val="9BC2E5" w:themeColor="accent5" w:themeTint="9a" w:themeShade="95"/>
        <w:sz w:val="22"/>
      </w:rPr>
      <w:tblPr/>
      <w:tcPr>
        <w:shd w:val="clear" w:color="FFFFFF" w:fill="D5E5F4" w:themeFill="accent5" w:themeFillTint="40"/>
      </w:tcPr>
    </w:tblStylePr>
    <w:tblStylePr w:type="band1Vert">
      <w:tblPr/>
      <w:tcPr>
        <w:shd w:val="clear" w:color="FFFFFF" w:fill="D5E5F4" w:themeFill="accent5" w:themeFillTint="40"/>
      </w:tcPr>
    </w:tblStylePr>
    <w:tblStylePr w:type="band2Horz">
      <w:rPr>
        <w:color w:val="9BC2E5" w:themeColor="accent5" w:themeTint="9a" w:themeShade="95"/>
        <w:sz w:val="22"/>
      </w:rPr>
      <w:tblPr/>
    </w:tblStylePr>
    <w:tblStylePr w:type="firstCol">
      <w:rPr>
        <w:b/>
        <w:color w:val="9BC2E5" w:themeColor="accent5" w:themeTint="9a" w:themeShade="95"/>
      </w:rPr>
      <w:tblPr/>
    </w:tblStylePr>
    <w:tblStylePr w:type="firstRow">
      <w:rPr>
        <w:b/>
        <w:color w:val="9BC2E5" w:themeColor="accent5" w:themeTint="9a" w:themeShade="95"/>
      </w:rPr>
      <w:tblPr/>
      <w:tcPr>
        <w:tcBorders>
          <w:bottom w:val="single" w:color="5B9BD5" w:themeColor="accent5" w:sz="4" w:space="0"/>
        </w:tcBorders>
      </w:tcPr>
    </w:tblStylePr>
    <w:tblStylePr w:type="lastCol">
      <w:rPr>
        <w:b/>
        <w:color w:val="9BC2E5" w:themeColor="accent5" w:themeTint="9a" w:themeShade="95"/>
      </w:rPr>
      <w:tblPr/>
    </w:tblStylePr>
    <w:tblStylePr w:type="lastRow">
      <w:rPr>
        <w:b/>
        <w:color w:val="9BC2E5" w:themeColor="accent5" w:themeTint="9a" w:themeShade="95"/>
      </w:rPr>
      <w:tblPr/>
      <w:tcPr>
        <w:tcBorders>
          <w:top w:val="single" w:color="5B9BD5" w:themeColor="accent5" w:sz="4" w:space="0"/>
        </w:tcBorders>
      </w:tcPr>
    </w:tblStylePr>
  </w:style>
  <w:style w:type="table" w:customStyle="1" w:styleId="1413">
    <w:name w:val="List Table 6 Colorful - Accent 6"/>
    <w:basedOn w:val="1225"/>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FFFFFF" w:fill="DAEBCF" w:themeFill="accent6" w:themeFillTint="40"/>
      </w:tcPr>
    </w:tblStylePr>
    <w:tblStylePr w:type="band1Vert">
      <w:tblPr/>
      <w:tcPr>
        <w:shd w:val="clear" w:color="FFFFF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70AD47"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70AD47" w:themeColor="accent6" w:sz="4" w:space="0"/>
        </w:tcBorders>
      </w:tcPr>
    </w:tblStylePr>
  </w:style>
  <w:style w:type="table" w:styleId="1414">
    <w:name w:val="List Table 7 Colorful"/>
    <w:basedOn w:val="1225"/>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415">
    <w:name w:val="List Table 7 Colorful - Accent 1"/>
    <w:basedOn w:val="1225"/>
    <w:uiPriority w:val="99"/>
    <w:tblPr>
      <w:tblStyleRowBandSize w:val="1"/>
      <w:tblStyleColBandSize w:val="1"/>
      <w:tblBorders>
        <w:right w:val="single" w:color="4472C4" w:themeColor="accent1" w:sz="4" w:space="0"/>
      </w:tblBorders>
    </w:tblPr>
    <w:tblStylePr w:type="band1Horz">
      <w:rPr>
        <w:color w:val="254175" w:themeColor="accent1" w:themeShade="95"/>
        <w:sz w:val="22"/>
      </w:rPr>
      <w:tblPr/>
      <w:tcPr>
        <w:shd w:val="clear" w:color="FFFFFF" w:fill="CFDBF0" w:themeFill="accent1" w:themeFillTint="40"/>
      </w:tcPr>
    </w:tblStylePr>
    <w:tblStylePr w:type="band1Vert">
      <w:tblPr/>
      <w:tcPr>
        <w:shd w:val="clear" w:color="FFFFFF" w:fill="CFDBF0" w:themeFill="accent1" w:themeFillTint="40"/>
      </w:tcPr>
    </w:tblStylePr>
    <w:tblStylePr w:type="band2Horz">
      <w:rPr>
        <w:color w:val="254175" w:themeColor="accent1" w:themeShade="95"/>
        <w:sz w:val="22"/>
      </w:rPr>
      <w:tbl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416">
    <w:name w:val="List Table 7 Colorful - Accent 2"/>
    <w:basedOn w:val="1225"/>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417">
    <w:name w:val="List Table 7 Colorful - Accent 3"/>
    <w:basedOn w:val="1225"/>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418">
    <w:name w:val="List Table 7 Colorful - Accent 4"/>
    <w:basedOn w:val="1225"/>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419">
    <w:name w:val="List Table 7 Colorful - Accent 5"/>
    <w:basedOn w:val="1225"/>
    <w:uiPriority w:val="99"/>
    <w:tblPr>
      <w:tblStyleRowBandSize w:val="1"/>
      <w:tblStyleColBandSize w:val="1"/>
      <w:tblBorders>
        <w:right w:val="single" w:color="9BC2E5" w:themeColor="accent5" w:themeTint="9a" w:sz="4" w:space="0"/>
      </w:tblBorders>
    </w:tblPr>
    <w:tblStylePr w:type="band1Horz">
      <w:rPr>
        <w:color w:val="9BC2E5" w:themeColor="accent5" w:themeTint="9a" w:themeShade="95"/>
        <w:sz w:val="22"/>
      </w:rPr>
      <w:tblPr/>
      <w:tcPr>
        <w:shd w:val="clear" w:color="FFFFFF" w:fill="D5E5F4" w:themeFill="accent5" w:themeFillTint="40"/>
      </w:tcPr>
    </w:tblStylePr>
    <w:tblStylePr w:type="band1Vert">
      <w:tblPr/>
      <w:tcPr>
        <w:shd w:val="clear" w:color="FFFFFF" w:fill="D5E5F4" w:themeFill="accent5" w:themeFillTint="40"/>
      </w:tcPr>
    </w:tblStylePr>
    <w:tblStylePr w:type="band2Horz">
      <w:rPr>
        <w:color w:val="9BC2E5" w:themeColor="accent5" w:themeTint="9a" w:themeShade="95"/>
        <w:sz w:val="22"/>
      </w:rPr>
      <w:tbl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firstRow">
      <w:rPr>
        <w:i/>
        <w:color w:val="9BC2E5" w:themeColor="accent5" w:themeTint="9a"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Col">
      <w:rPr>
        <w:i/>
        <w:color w:val="9BC2E5" w:themeColor="accent5" w:themeTint="9a"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lastRow">
      <w:rPr>
        <w:i/>
        <w:color w:val="9BC2E5" w:themeColor="accent5" w:themeTint="9a"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420">
    <w:name w:val="List Table 7 Colorful - Accent 6"/>
    <w:basedOn w:val="1225"/>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FFFFFF" w:fill="DAEBCF" w:themeFill="accent6" w:themeFillTint="40"/>
      </w:tcPr>
    </w:tblStylePr>
    <w:tblStylePr w:type="band1Vert">
      <w:tblPr/>
      <w:tcPr>
        <w:shd w:val="clear" w:color="FFFFF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421">
    <w:name w:val="Lined - Accent"/>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FFF" w:themeFill="text1" w:themeFillTint="0"/>
      </w:tcPr>
    </w:tblStylePr>
    <w:tblStylePr w:type="band2Vert">
      <w:rPr>
        <w:sz w:val="22"/>
      </w:rPr>
      <w:tblPr/>
      <w:tcPr>
        <w:shd w:val="clear" w:color="FFFFFF" w:fill="FFFFFF" w:themeFill="text1" w:themeFillTint="0"/>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customStyle="1" w:styleId="1422">
    <w:name w:val="Lined - Accent 1"/>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4D2EC" w:themeFill="accent1" w:themeFillTint="50"/>
      </w:tcPr>
    </w:tblStylePr>
    <w:tblStylePr w:type="band2Vert">
      <w:rPr>
        <w:sz w:val="22"/>
      </w:rPr>
      <w:tblPr/>
      <w:tcPr>
        <w:shd w:val="clear" w:color="FFFFFF" w:fill="C4D2EC" w:themeFill="accent1" w:themeFillTint="50"/>
      </w:tcPr>
    </w:tblStylePr>
    <w:tblStylePr w:type="firstCol">
      <w:rPr>
        <w:sz w:val="22"/>
      </w:rPr>
      <w:tblPr/>
      <w:tcPr>
        <w:shd w:val="clear" w:color="FFFFFF" w:fill="537DC8" w:themeFill="accent1" w:themeFillTint="ea"/>
      </w:tcPr>
    </w:tblStylePr>
    <w:tblStylePr w:type="firstRow">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style>
  <w:style w:type="table" w:customStyle="1" w:styleId="1423">
    <w:name w:val="Lined - Accent 2"/>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5D6" w:themeFill="accent2" w:themeFillTint="32"/>
      </w:tcPr>
    </w:tblStylePr>
    <w:tblStylePr w:type="band2Vert">
      <w:rPr>
        <w:sz w:val="22"/>
      </w:rPr>
      <w:tblPr/>
      <w:tcPr>
        <w:shd w:val="clear" w:color="FFFFFF" w:fill="FBE5D6" w:themeFill="accent2" w:themeFillTint="32"/>
      </w:tcPr>
    </w:tblStylePr>
    <w:tblStylePr w:type="firstCol">
      <w:rPr>
        <w:sz w:val="22"/>
      </w:rPr>
      <w:tblPr/>
      <w:tcPr>
        <w:shd w:val="clear" w:color="FFFFFF" w:fill="F4B184" w:themeFill="accent2" w:themeFillTint="97"/>
      </w:tcPr>
    </w:tblStylePr>
    <w:tblStylePr w:type="firstRow">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style>
  <w:style w:type="table" w:customStyle="1" w:styleId="1424">
    <w:name w:val="Lined - Accent 3"/>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CECEC" w:themeFill="accent3" w:themeFillTint="34"/>
      </w:tcPr>
    </w:tblStylePr>
    <w:tblStylePr w:type="band2Vert">
      <w:rPr>
        <w:sz w:val="22"/>
      </w:rPr>
      <w:tblPr/>
      <w:tcPr>
        <w:shd w:val="clear" w:color="FFFFFF" w:fill="ECECEC"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style>
  <w:style w:type="table" w:customStyle="1" w:styleId="1425">
    <w:name w:val="Lined - Accent 4"/>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865" w:themeFill="accent4" w:themeFillTint="9a"/>
      </w:tcPr>
    </w:tblStylePr>
    <w:tblStylePr w:type="firstRow">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style>
  <w:style w:type="table" w:customStyle="1" w:styleId="1426">
    <w:name w:val="Lined - Accent 5"/>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DEAF6" w:themeFill="accent5" w:themeFillTint="34"/>
      </w:tcPr>
    </w:tblStylePr>
    <w:tblStylePr w:type="band2Vert">
      <w:rPr>
        <w:sz w:val="22"/>
      </w:rPr>
      <w:tblPr/>
      <w:tcPr>
        <w:shd w:val="clear" w:color="FFFFFF" w:fill="DDEA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style>
  <w:style w:type="table" w:customStyle="1" w:styleId="1427">
    <w:name w:val="Lined - Accent 6"/>
    <w:basedOn w:val="1225"/>
    <w:uiPriority w:val="99"/>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1EFD8" w:themeFill="accent6" w:themeFillTint="34"/>
      </w:tcPr>
    </w:tblStylePr>
    <w:tblStylePr w:type="band2Vert">
      <w:rPr>
        <w:sz w:val="22"/>
      </w:rPr>
      <w:tblPr/>
      <w:tcPr>
        <w:shd w:val="clear" w:color="FFFFFF" w:fill="E1EFD8"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style>
  <w:style w:type="table" w:customStyle="1" w:styleId="1428">
    <w:name w:val="Bordered &amp; Lined - Accent"/>
    <w:basedOn w:val="1225"/>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FFFFF" w:themeFill="text1" w:themeFillTint="0"/>
      </w:tcPr>
    </w:tblStylePr>
    <w:tblStylePr w:type="band2Vert">
      <w:rPr>
        <w:sz w:val="22"/>
      </w:rPr>
      <w:tblPr/>
      <w:tcPr>
        <w:shd w:val="clear" w:color="FFFFFF" w:fill="FFFFFF" w:themeFill="text1" w:themeFillTint="0"/>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style>
  <w:style w:type="table" w:customStyle="1" w:styleId="1429">
    <w:name w:val="Bordered &amp; Lined - Accent 1"/>
    <w:basedOn w:val="1225"/>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insideH w:val="single" w:color="4472C4" w:themeColor="accent1" w:sz="4" w:space="0"/>
        <w:insideV w:val="single" w:color="4472C4"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4D2EC" w:themeFill="accent1" w:themeFillTint="50"/>
      </w:tcPr>
    </w:tblStylePr>
    <w:tblStylePr w:type="band2Vert">
      <w:rPr>
        <w:sz w:val="22"/>
      </w:rPr>
      <w:tblPr/>
      <w:tcPr>
        <w:shd w:val="clear" w:color="FFFFFF" w:fill="C4D2EC" w:themeFill="accent1" w:themeFillTint="50"/>
      </w:tcPr>
    </w:tblStylePr>
    <w:tblStylePr w:type="firstCol">
      <w:rPr>
        <w:sz w:val="22"/>
      </w:rPr>
      <w:tblPr/>
      <w:tcPr>
        <w:shd w:val="clear" w:color="FFFFFF" w:fill="537DC8" w:themeFill="accent1" w:themeFillTint="ea"/>
      </w:tcPr>
    </w:tblStylePr>
    <w:tblStylePr w:type="firstRow">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style>
  <w:style w:type="table" w:customStyle="1" w:styleId="1430">
    <w:name w:val="Bordered &amp; Lined - Accent 2"/>
    <w:basedOn w:val="1225"/>
    <w:uiPriority w:val="99"/>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5D6" w:themeFill="accent2" w:themeFillTint="32"/>
      </w:tcPr>
    </w:tblStylePr>
    <w:tblStylePr w:type="band2Vert">
      <w:rPr>
        <w:sz w:val="22"/>
      </w:rPr>
      <w:tblPr/>
      <w:tcPr>
        <w:shd w:val="clear" w:color="FFFFFF" w:fill="FBE5D6" w:themeFill="accent2" w:themeFillTint="32"/>
      </w:tcPr>
    </w:tblStylePr>
    <w:tblStylePr w:type="firstCol">
      <w:rPr>
        <w:sz w:val="22"/>
      </w:rPr>
      <w:tblPr/>
      <w:tcPr>
        <w:shd w:val="clear" w:color="FFFFFF" w:fill="F4B184" w:themeFill="accent2" w:themeFillTint="97"/>
      </w:tcPr>
    </w:tblStylePr>
    <w:tblStylePr w:type="firstRow">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style>
  <w:style w:type="table" w:customStyle="1" w:styleId="1431">
    <w:name w:val="Bordered &amp; Lined - Accent 3"/>
    <w:basedOn w:val="1225"/>
    <w:uiPriority w:val="99"/>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CECEC" w:themeFill="accent3" w:themeFillTint="34"/>
      </w:tcPr>
    </w:tblStylePr>
    <w:tblStylePr w:type="band2Vert">
      <w:rPr>
        <w:sz w:val="22"/>
      </w:rPr>
      <w:tblPr/>
      <w:tcPr>
        <w:shd w:val="clear" w:color="FFFFFF" w:fill="ECECEC"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style>
  <w:style w:type="table" w:customStyle="1" w:styleId="1432">
    <w:name w:val="Bordered &amp; Lined - Accent 4"/>
    <w:basedOn w:val="1225"/>
    <w:uiPriority w:val="99"/>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865" w:themeFill="accent4" w:themeFillTint="9a"/>
      </w:tcPr>
    </w:tblStylePr>
    <w:tblStylePr w:type="firstRow">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style>
  <w:style w:type="table" w:customStyle="1" w:styleId="1433">
    <w:name w:val="Bordered &amp; Lined - Accent 5"/>
    <w:basedOn w:val="1225"/>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DEAF6" w:themeFill="accent5" w:themeFillTint="34"/>
      </w:tcPr>
    </w:tblStylePr>
    <w:tblStylePr w:type="band2Vert">
      <w:rPr>
        <w:sz w:val="22"/>
      </w:rPr>
      <w:tblPr/>
      <w:tcPr>
        <w:shd w:val="clear" w:color="FFFFFF" w:fill="DDEA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style>
  <w:style w:type="table" w:customStyle="1" w:styleId="1434">
    <w:name w:val="Bordered &amp; Lined - Accent 6"/>
    <w:basedOn w:val="1225"/>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1EFD8" w:themeFill="accent6" w:themeFillTint="34"/>
      </w:tcPr>
    </w:tblStylePr>
    <w:tblStylePr w:type="band2Vert">
      <w:rPr>
        <w:sz w:val="22"/>
      </w:rPr>
      <w:tblPr/>
      <w:tcPr>
        <w:shd w:val="clear" w:color="FFFFFF" w:fill="E1EFD8"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style>
  <w:style w:type="table" w:customStyle="1" w:styleId="1435">
    <w:name w:val="Bordered"/>
    <w:basedOn w:val="122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style>
  <w:style w:type="table" w:customStyle="1" w:styleId="1436">
    <w:name w:val="Bordered - Accent 1"/>
    <w:basedOn w:val="122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firstCol">
      <w:rPr>
        <w:sz w:val="22"/>
      </w:rPr>
      <w:tblPr/>
    </w:tblStylePr>
    <w:tblStylePr w:type="firstRow">
      <w:rPr>
        <w:sz w:val="22"/>
      </w:rPr>
      <w:tblPr/>
      <w:tcPr>
        <w:tcBorders>
          <w:bottom w:val="single" w:color="4472C4" w:themeColor="accent1" w:sz="12" w:space="0"/>
        </w:tcBorders>
      </w:tcPr>
    </w:tblStylePr>
    <w:tblStylePr w:type="lastCol">
      <w:rPr>
        <w:sz w:val="22"/>
      </w:rPr>
      <w:tblPr/>
      <w:tcPr>
        <w:tcBorders>
          <w:left w:val="single" w:color="4472C4" w:themeColor="accent1" w:sz="12" w:space="0"/>
        </w:tcBorders>
      </w:tcPr>
    </w:tblStylePr>
    <w:tblStylePr w:type="lastRow">
      <w:rPr>
        <w:sz w:val="22"/>
      </w:rPr>
      <w:tblPr/>
      <w:tcPr>
        <w:tcBorders>
          <w:top w:val="single" w:color="4472C4" w:themeColor="accent1" w:sz="12" w:space="0"/>
        </w:tcBorders>
      </w:tcPr>
    </w:tblStylePr>
  </w:style>
  <w:style w:type="table" w:customStyle="1" w:styleId="1437">
    <w:name w:val="Bordered - Accent 2"/>
    <w:basedOn w:val="122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sz w:val="22"/>
      </w:rPr>
      <w:tblPr/>
    </w:tblStylePr>
    <w:tblStylePr w:type="firstRow">
      <w:rPr>
        <w:sz w:val="22"/>
      </w:rPr>
      <w:tblPr/>
      <w:tcPr>
        <w:tcBorders>
          <w:bottom w:val="single" w:color="ED7D31" w:themeColor="accent2" w:sz="12" w:space="0"/>
        </w:tcBorders>
      </w:tcPr>
    </w:tblStylePr>
    <w:tblStylePr w:type="lastCol">
      <w:rPr>
        <w:sz w:val="22"/>
      </w:rPr>
      <w:tblPr/>
      <w:tcPr>
        <w:tcBorders>
          <w:left w:val="single" w:color="ED7D31" w:themeColor="accent2" w:sz="12" w:space="0"/>
        </w:tcBorders>
      </w:tcPr>
    </w:tblStylePr>
    <w:tblStylePr w:type="lastRow">
      <w:rPr>
        <w:sz w:val="22"/>
      </w:rPr>
      <w:tblPr/>
      <w:tcPr>
        <w:tcBorders>
          <w:top w:val="single" w:color="ED7D31" w:themeColor="accent2" w:sz="12" w:space="0"/>
        </w:tcBorders>
      </w:tcPr>
    </w:tblStylePr>
  </w:style>
  <w:style w:type="table" w:customStyle="1" w:styleId="1438">
    <w:name w:val="Bordered - Accent 3"/>
    <w:basedOn w:val="122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sz w:val="22"/>
      </w:rPr>
      <w:tblPr/>
    </w:tblStylePr>
    <w:tblStylePr w:type="firstRow">
      <w:rPr>
        <w:sz w:val="22"/>
      </w:rPr>
      <w:tblPr/>
      <w:tcPr>
        <w:tcBorders>
          <w:bottom w:val="single" w:color="A5A5A5" w:themeColor="accent3" w:sz="12" w:space="0"/>
        </w:tcBorders>
      </w:tcPr>
    </w:tblStylePr>
    <w:tblStylePr w:type="lastCol">
      <w:rPr>
        <w:sz w:val="22"/>
      </w:rPr>
      <w:tblPr/>
      <w:tcPr>
        <w:tcBorders>
          <w:left w:val="single" w:color="A5A5A5" w:themeColor="accent3" w:sz="12" w:space="0"/>
        </w:tcBorders>
      </w:tcPr>
    </w:tblStylePr>
    <w:tblStylePr w:type="lastRow">
      <w:rPr>
        <w:sz w:val="22"/>
      </w:rPr>
      <w:tblPr/>
      <w:tcPr>
        <w:tcBorders>
          <w:top w:val="single" w:color="A5A5A5" w:themeColor="accent3" w:sz="12" w:space="0"/>
        </w:tcBorders>
      </w:tcPr>
    </w:tblStylePr>
  </w:style>
  <w:style w:type="table" w:customStyle="1" w:styleId="1439">
    <w:name w:val="Bordered - Accent 4"/>
    <w:basedOn w:val="122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sz w:val="22"/>
      </w:rPr>
      <w:tblPr/>
    </w:tblStylePr>
    <w:tblStylePr w:type="firstRow">
      <w:rPr>
        <w:sz w:val="22"/>
      </w:rPr>
      <w:tblPr/>
      <w:tcPr>
        <w:tcBorders>
          <w:bottom w:val="single" w:color="FFC000" w:themeColor="accent4" w:sz="12" w:space="0"/>
        </w:tcBorders>
      </w:tcPr>
    </w:tblStylePr>
    <w:tblStylePr w:type="lastCol">
      <w:rPr>
        <w:sz w:val="22"/>
      </w:rPr>
      <w:tblPr/>
      <w:tcPr>
        <w:tcBorders>
          <w:left w:val="single" w:color="FFC000" w:themeColor="accent4" w:sz="12" w:space="0"/>
        </w:tcBorders>
      </w:tcPr>
    </w:tblStylePr>
    <w:tblStylePr w:type="lastRow">
      <w:rPr>
        <w:sz w:val="22"/>
      </w:rPr>
      <w:tblPr/>
      <w:tcPr>
        <w:tcBorders>
          <w:top w:val="single" w:color="FFC000" w:themeColor="accent4" w:sz="12" w:space="0"/>
        </w:tcBorders>
      </w:tcPr>
    </w:tblStylePr>
  </w:style>
  <w:style w:type="table" w:customStyle="1" w:styleId="1440">
    <w:name w:val="Bordered - Accent 5"/>
    <w:basedOn w:val="122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firstCol">
      <w:rPr>
        <w:sz w:val="22"/>
      </w:rPr>
      <w:tblPr/>
    </w:tblStylePr>
    <w:tblStylePr w:type="firstRow">
      <w:rPr>
        <w:sz w:val="22"/>
      </w:rPr>
      <w:tblPr/>
      <w:tcPr>
        <w:tcBorders>
          <w:bottom w:val="single" w:color="5B9BD5" w:themeColor="accent5" w:sz="12" w:space="0"/>
        </w:tcBorders>
      </w:tcPr>
    </w:tblStylePr>
    <w:tblStylePr w:type="lastCol">
      <w:rPr>
        <w:sz w:val="22"/>
      </w:rPr>
      <w:tblPr/>
      <w:tcPr>
        <w:tcBorders>
          <w:left w:val="single" w:color="5B9BD5" w:themeColor="accent5" w:sz="12" w:space="0"/>
        </w:tcBorders>
      </w:tcPr>
    </w:tblStylePr>
    <w:tblStylePr w:type="lastRow">
      <w:rPr>
        <w:sz w:val="22"/>
      </w:rPr>
      <w:tblPr/>
      <w:tcPr>
        <w:tcBorders>
          <w:top w:val="single" w:color="5B9BD5" w:themeColor="accent5" w:sz="12" w:space="0"/>
        </w:tcBorders>
      </w:tcPr>
    </w:tblStylePr>
  </w:style>
  <w:style w:type="table" w:customStyle="1" w:styleId="1441">
    <w:name w:val="Bordered - Accent 6"/>
    <w:basedOn w:val="122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sz w:val="22"/>
      </w:rPr>
      <w:tblPr/>
    </w:tblStylePr>
    <w:tblStylePr w:type="firstRow">
      <w:rPr>
        <w:sz w:val="22"/>
      </w:rPr>
      <w:tblPr/>
      <w:tcPr>
        <w:tcBorders>
          <w:bottom w:val="single" w:color="70AD47" w:themeColor="accent6" w:sz="12" w:space="0"/>
        </w:tcBorders>
      </w:tcPr>
    </w:tblStylePr>
    <w:tblStylePr w:type="lastCol">
      <w:rPr>
        <w:sz w:val="22"/>
      </w:rPr>
      <w:tblPr/>
      <w:tcPr>
        <w:tcBorders>
          <w:left w:val="single" w:color="70AD47" w:themeColor="accent6" w:sz="12" w:space="0"/>
        </w:tcBorders>
      </w:tcPr>
    </w:tblStylePr>
    <w:tblStylePr w:type="lastRow">
      <w:rPr>
        <w:sz w:val="22"/>
      </w:rPr>
      <w:tblPr/>
      <w:tcPr>
        <w:tcBorders>
          <w:top w:val="single" w:color="70AD47" w:themeColor="accent6" w:sz="12" w:space="0"/>
        </w:tcBorders>
      </w:tcPr>
    </w:tblStylePr>
  </w:style>
  <w:style w:type="table" w:customStyle="1" w:styleId="1442">
    <w:name w:val="[РГ] Таблица"/>
    <w:basedOn w:val="122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443">
    <w:name w:val="Table Grid"/>
    <w:basedOn w:val="1225"/>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package" Target="embeddings/oleObject1.docx"/><Relationship Id="rId9" Type="http://schemas.openxmlformats.org/officeDocument/2006/relationships/image" Target="media/image1.wmf"/><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footer" Target="footer6.xml"/><Relationship Id="rId17" Type="http://schemas.openxmlformats.org/officeDocument/2006/relationships/footer" Target="footer7.xml"/><Relationship Id="rId18" Type="http://schemas.openxmlformats.org/officeDocument/2006/relationships/package" Target="embeddings/oleObject2.docx"/><Relationship Id="rId19" Type="http://schemas.openxmlformats.org/officeDocument/2006/relationships/image" Target="media/image2.wmf"/><Relationship Id="rId20" Type="http://schemas.openxmlformats.org/officeDocument/2006/relationships/package" Target="embeddings/oleObject3.docx"/><Relationship Id="rId21" Type="http://schemas.openxmlformats.org/officeDocument/2006/relationships/image" Target="media/image3.wmf"/><Relationship Id="rId22" Type="http://schemas.openxmlformats.org/officeDocument/2006/relationships/header" Target="header8.xml"/><Relationship Id="rId23" Type="http://schemas.openxmlformats.org/officeDocument/2006/relationships/header" Target="header9.xml"/><Relationship Id="rId24" Type="http://schemas.openxmlformats.org/officeDocument/2006/relationships/footer" Target="footer8.xml"/><Relationship Id="rId25" Type="http://schemas.openxmlformats.org/officeDocument/2006/relationships/footer" Target="footer9.xml"/><Relationship Id="rId26" Type="http://schemas.openxmlformats.org/officeDocument/2006/relationships/header" Target="header10.xml"/><Relationship Id="rId27" Type="http://schemas.openxmlformats.org/officeDocument/2006/relationships/header" Target="header11.xml"/><Relationship Id="rId28" Type="http://schemas.openxmlformats.org/officeDocument/2006/relationships/footer" Target="footer10.xml"/><Relationship Id="rId29" Type="http://schemas.openxmlformats.org/officeDocument/2006/relationships/footer" Target="footer11.xml"/><Relationship Id="rId30" Type="http://schemas.openxmlformats.org/officeDocument/2006/relationships/header" Target="header12.xml"/><Relationship Id="rId31" Type="http://schemas.openxmlformats.org/officeDocument/2006/relationships/header" Target="header13.xml"/><Relationship Id="rId32" Type="http://schemas.openxmlformats.org/officeDocument/2006/relationships/footer" Target="footer12.xml"/><Relationship Id="rId33" Type="http://schemas.openxmlformats.org/officeDocument/2006/relationships/footer" Target="footer13.xml"/><Relationship Id="rId34" Type="http://schemas.openxmlformats.org/officeDocument/2006/relationships/package" Target="embeddings/oleObject4.xlsx"/><Relationship Id="rId35" Type="http://schemas.openxmlformats.org/officeDocument/2006/relationships/image" Target="media/image4.wmf"/><Relationship Id="rId36" Type="http://schemas.openxmlformats.org/officeDocument/2006/relationships/package" Target="embeddings/oleObject5.docx"/><Relationship Id="rId37" Type="http://schemas.openxmlformats.org/officeDocument/2006/relationships/image" Target="media/image5.wmf"/><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ACC93-9023-4169-88C1-95ABDA19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Application>AlterOffice/2025.3.1.0$Linux_X86_64 LibreOffice_project/431cd1b79110582f53535c95ed0a2449aadc8bf9</Application>
  <AppVersion>15.0000</AppVersion>
  <Pages>72</Pages>
  <Words>19050</Words>
  <Characters>131836</Characters>
  <CharactersWithSpaces>148104</CharactersWithSpaces>
  <Paragraphs>1103</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evstratenko_av@DGK.RU</cp:lastModifiedBy>
  <dcterms:modified xsi:type="dcterms:W3CDTF">2026-08-17T16:56:27Z</dcterms:modified>
  <cp:revision>191</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